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6E157E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 315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425DAA">
        <w:rPr>
          <w:szCs w:val="22"/>
        </w:rPr>
        <w:t xml:space="preserve"> </w:t>
      </w:r>
      <w:r w:rsidR="006E157E">
        <w:rPr>
          <w:szCs w:val="22"/>
        </w:rPr>
        <w:t>25</w:t>
      </w:r>
      <w:bookmarkStart w:id="0" w:name="_GoBack"/>
      <w:bookmarkEnd w:id="0"/>
      <w:r w:rsidR="00425DAA">
        <w:rPr>
          <w:szCs w:val="22"/>
        </w:rPr>
        <w:t xml:space="preserve">     kwietnia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425DAA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</w:t>
      </w:r>
      <w:r w:rsidR="00052DCD">
        <w:rPr>
          <w:szCs w:val="22"/>
        </w:rPr>
        <w:t>nych (Dz. U. z 2024 r., poz. 104</w:t>
      </w:r>
      <w:r w:rsidR="00052DCD" w:rsidRPr="00391486">
        <w:rPr>
          <w:szCs w:val="22"/>
        </w:rPr>
        <w:t xml:space="preserve">) </w:t>
      </w:r>
      <w:r w:rsidRPr="00391486">
        <w:rPr>
          <w:szCs w:val="22"/>
        </w:rPr>
        <w:t xml:space="preserve">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2DCD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3F7A69"/>
    <w:rsid w:val="00412D91"/>
    <w:rsid w:val="00422116"/>
    <w:rsid w:val="00425DAA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6E157E"/>
    <w:rsid w:val="007064A8"/>
    <w:rsid w:val="007177E0"/>
    <w:rsid w:val="00717EEC"/>
    <w:rsid w:val="007225B1"/>
    <w:rsid w:val="00726C7B"/>
    <w:rsid w:val="00747342"/>
    <w:rsid w:val="00752DA0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578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4BC3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FDA6-41F9-48FF-836B-7CF3FFEE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11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202</cp:revision>
  <cp:lastPrinted>2024-02-13T08:07:00Z</cp:lastPrinted>
  <dcterms:created xsi:type="dcterms:W3CDTF">2016-10-13T08:21:00Z</dcterms:created>
  <dcterms:modified xsi:type="dcterms:W3CDTF">2024-04-25T08:36:00Z</dcterms:modified>
</cp:coreProperties>
</file>