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260713">
        <w:rPr>
          <w:color w:val="000000"/>
          <w:sz w:val="20"/>
          <w:szCs w:val="20"/>
          <w:lang w:eastAsia="en-US" w:bidi="en-US"/>
        </w:rPr>
        <w:t xml:space="preserve">  215</w:t>
      </w:r>
      <w:r w:rsidR="001D46D1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260713">
        <w:rPr>
          <w:color w:val="000000"/>
          <w:sz w:val="20"/>
          <w:szCs w:val="20"/>
          <w:lang w:eastAsia="en-US" w:bidi="en-US"/>
        </w:rPr>
        <w:t xml:space="preserve"> 21</w:t>
      </w:r>
      <w:r w:rsidR="001D46D1">
        <w:rPr>
          <w:color w:val="000000"/>
          <w:sz w:val="20"/>
          <w:szCs w:val="20"/>
          <w:lang w:eastAsia="en-US" w:bidi="en-US"/>
        </w:rPr>
        <w:t xml:space="preserve">  marca </w:t>
      </w:r>
      <w:r w:rsidR="00265AA9">
        <w:rPr>
          <w:color w:val="000000"/>
          <w:sz w:val="20"/>
          <w:szCs w:val="20"/>
          <w:lang w:eastAsia="en-US" w:bidi="en-US"/>
        </w:rPr>
        <w:t xml:space="preserve"> 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0B4F08">
        <w:rPr>
          <w:color w:val="000000"/>
          <w:sz w:val="24"/>
          <w:lang w:eastAsia="en-US" w:bidi="en-US"/>
        </w:rPr>
        <w:t xml:space="preserve"> realizację niżej wymienionego</w:t>
      </w:r>
      <w:r w:rsidR="009A5601">
        <w:rPr>
          <w:color w:val="000000"/>
          <w:sz w:val="24"/>
          <w:lang w:eastAsia="en-US" w:bidi="en-US"/>
        </w:rPr>
        <w:t xml:space="preserve"> </w:t>
      </w:r>
      <w:r w:rsidR="000B4F08">
        <w:rPr>
          <w:color w:val="000000"/>
          <w:sz w:val="24"/>
          <w:lang w:eastAsia="en-US" w:bidi="en-US"/>
        </w:rPr>
        <w:t>zadania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0B4F08" w:rsidRDefault="00547D24" w:rsidP="000B4F08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</w:p>
    <w:p w:rsidR="000B4F08" w:rsidRPr="001D46D1" w:rsidRDefault="000B4F08" w:rsidP="000B4F08">
      <w:pPr>
        <w:spacing w:after="0" w:line="240" w:lineRule="auto"/>
        <w:jc w:val="both"/>
        <w:rPr>
          <w:b/>
          <w:bCs/>
          <w:sz w:val="24"/>
        </w:rPr>
      </w:pPr>
    </w:p>
    <w:p w:rsidR="001D46D1" w:rsidRPr="001D46D1" w:rsidRDefault="001D46D1" w:rsidP="000B4F08">
      <w:pPr>
        <w:spacing w:after="0" w:line="240" w:lineRule="auto"/>
        <w:jc w:val="both"/>
        <w:rPr>
          <w:kern w:val="1"/>
          <w:sz w:val="24"/>
        </w:rPr>
      </w:pPr>
      <w:r w:rsidRPr="001D46D1">
        <w:rPr>
          <w:sz w:val="24"/>
        </w:rPr>
        <w:t>Organizacja zajęć animacyjno-profilaktycznych na wybranych miejskich placach zabaw i miejscach aktywności fizycznej.</w:t>
      </w:r>
    </w:p>
    <w:p w:rsidR="000B4F08" w:rsidRPr="001D46D1" w:rsidRDefault="000B4F08" w:rsidP="000B4F08">
      <w:pPr>
        <w:spacing w:after="0" w:line="240" w:lineRule="auto"/>
        <w:jc w:val="both"/>
        <w:rPr>
          <w:kern w:val="1"/>
          <w:sz w:val="24"/>
        </w:rPr>
      </w:pPr>
      <w:r w:rsidRPr="001D46D1">
        <w:rPr>
          <w:kern w:val="1"/>
          <w:sz w:val="24"/>
        </w:rPr>
        <w:t>Term</w:t>
      </w:r>
      <w:r w:rsidR="001D46D1" w:rsidRPr="001D46D1">
        <w:rPr>
          <w:kern w:val="1"/>
          <w:sz w:val="24"/>
        </w:rPr>
        <w:t xml:space="preserve">in realizacji zadania od dnia 1 maja  do dnia 30 września </w:t>
      </w:r>
      <w:r w:rsidRPr="001D46D1">
        <w:rPr>
          <w:kern w:val="1"/>
          <w:sz w:val="24"/>
        </w:rPr>
        <w:t xml:space="preserve"> 2024 r.  </w:t>
      </w:r>
    </w:p>
    <w:p w:rsidR="000B4F08" w:rsidRPr="001D46D1" w:rsidRDefault="000B4F08" w:rsidP="000B4F08">
      <w:pPr>
        <w:spacing w:after="0" w:line="240" w:lineRule="auto"/>
        <w:jc w:val="both"/>
        <w:rPr>
          <w:b/>
          <w:bCs/>
          <w:sz w:val="24"/>
        </w:rPr>
      </w:pPr>
      <w:r w:rsidRPr="001D46D1">
        <w:rPr>
          <w:sz w:val="24"/>
        </w:rPr>
        <w:t xml:space="preserve">Kwota przeznaczona na  </w:t>
      </w:r>
      <w:r w:rsidR="001D46D1">
        <w:rPr>
          <w:sz w:val="24"/>
        </w:rPr>
        <w:t>realizację zadania 51.5</w:t>
      </w:r>
      <w:r w:rsidRPr="001D46D1">
        <w:rPr>
          <w:sz w:val="24"/>
        </w:rPr>
        <w:t>00 zł.</w:t>
      </w:r>
    </w:p>
    <w:p w:rsidR="005C44AF" w:rsidRPr="001D46D1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6A7729" w:rsidP="00173BA2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Ogólne warunki realizacji zadania</w:t>
      </w:r>
      <w:r w:rsidR="00173BA2" w:rsidRPr="004348BC">
        <w:rPr>
          <w:b/>
          <w:bCs/>
          <w:sz w:val="24"/>
        </w:rPr>
        <w:t xml:space="preserve">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7178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0B4F08">
        <w:rPr>
          <w:sz w:val="24"/>
        </w:rPr>
        <w:t xml:space="preserve">amu, </w:t>
      </w:r>
      <w:r w:rsidR="00FB7904">
        <w:rPr>
          <w:sz w:val="24"/>
        </w:rPr>
        <w:t xml:space="preserve">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7178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7178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7178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7178EC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lastRenderedPageBreak/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 pkt 8 oferty - Inne informacje (Inne działania, które mogą mieć znaczenie przy ocenie oferty, w tym uwagi do kosztorysu).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 xml:space="preserve">Szczegółowe </w:t>
      </w:r>
      <w:r w:rsidR="006A7729">
        <w:rPr>
          <w:b/>
          <w:color w:val="000000"/>
          <w:sz w:val="24"/>
          <w:lang w:eastAsia="en-US" w:bidi="en-US"/>
        </w:rPr>
        <w:t>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0B4F08" w:rsidRDefault="000B4F08" w:rsidP="000B4F08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6A7729" w:rsidRPr="000153E8" w:rsidRDefault="006A7729" w:rsidP="006A772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>Adresatami programu są dzieci i młodzi</w:t>
      </w:r>
      <w:r>
        <w:rPr>
          <w:sz w:val="24"/>
        </w:rPr>
        <w:t xml:space="preserve">eż w wieku 11-18 lat </w:t>
      </w:r>
      <w:r w:rsidRPr="000153E8">
        <w:rPr>
          <w:sz w:val="24"/>
        </w:rPr>
        <w:t>oraz ich rodzice/opiekunowie z terenu miasta Świnoujście.</w:t>
      </w:r>
    </w:p>
    <w:p w:rsidR="006A7729" w:rsidRPr="000153E8" w:rsidRDefault="006A7729" w:rsidP="006A772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 xml:space="preserve">Miejsce realizacji zadania: </w:t>
      </w:r>
      <w:r>
        <w:rPr>
          <w:sz w:val="24"/>
        </w:rPr>
        <w:t>rotacyjnie na minimum trzech, wybranych</w:t>
      </w:r>
      <w:r w:rsidRPr="000153E8">
        <w:rPr>
          <w:sz w:val="24"/>
        </w:rPr>
        <w:t xml:space="preserve"> </w:t>
      </w:r>
      <w:r>
        <w:rPr>
          <w:sz w:val="24"/>
        </w:rPr>
        <w:t>miejskich placach</w:t>
      </w:r>
      <w:r w:rsidRPr="000153E8">
        <w:rPr>
          <w:sz w:val="24"/>
        </w:rPr>
        <w:t xml:space="preserve"> </w:t>
      </w:r>
      <w:r>
        <w:rPr>
          <w:sz w:val="24"/>
        </w:rPr>
        <w:t xml:space="preserve">zabaw, </w:t>
      </w:r>
      <w:r w:rsidRPr="000153E8">
        <w:rPr>
          <w:sz w:val="24"/>
        </w:rPr>
        <w:t> </w:t>
      </w:r>
      <w:r>
        <w:rPr>
          <w:sz w:val="24"/>
        </w:rPr>
        <w:t xml:space="preserve">miejscach </w:t>
      </w:r>
      <w:r w:rsidRPr="000153E8">
        <w:rPr>
          <w:sz w:val="24"/>
        </w:rPr>
        <w:t>aktywności fizycznej</w:t>
      </w:r>
      <w:r>
        <w:rPr>
          <w:sz w:val="24"/>
        </w:rPr>
        <w:t>,</w:t>
      </w:r>
      <w:r w:rsidRPr="000153E8">
        <w:rPr>
          <w:sz w:val="24"/>
        </w:rPr>
        <w:t xml:space="preserve"> </w:t>
      </w:r>
      <w:r>
        <w:rPr>
          <w:sz w:val="24"/>
        </w:rPr>
        <w:t xml:space="preserve"> w tym na prawobrzeżu i lewobrzeżu miasta.</w:t>
      </w:r>
    </w:p>
    <w:p w:rsidR="006A7729" w:rsidRDefault="006A7729" w:rsidP="006A7729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Praca na świeżym powietrzu, w okresie maj</w:t>
      </w:r>
      <w:r>
        <w:rPr>
          <w:sz w:val="24"/>
        </w:rPr>
        <w:t xml:space="preserve"> </w:t>
      </w:r>
      <w:r w:rsidRPr="000153E8">
        <w:rPr>
          <w:sz w:val="24"/>
        </w:rPr>
        <w:t>-</w:t>
      </w:r>
      <w:r>
        <w:rPr>
          <w:sz w:val="24"/>
        </w:rPr>
        <w:t xml:space="preserve"> </w:t>
      </w:r>
      <w:r w:rsidRPr="000153E8">
        <w:rPr>
          <w:sz w:val="24"/>
        </w:rPr>
        <w:t xml:space="preserve">wrzesień, w wybrane dni robocze oraz </w:t>
      </w:r>
      <w:r>
        <w:rPr>
          <w:sz w:val="24"/>
        </w:rPr>
        <w:t>w </w:t>
      </w:r>
      <w:r w:rsidRPr="000153E8">
        <w:rPr>
          <w:sz w:val="24"/>
        </w:rPr>
        <w:t xml:space="preserve">weekendy, </w:t>
      </w:r>
      <w:r>
        <w:rPr>
          <w:sz w:val="24"/>
        </w:rPr>
        <w:t>według ustalonego harmonogramu osobno dla każdego placu</w:t>
      </w:r>
      <w:r w:rsidRPr="000153E8">
        <w:rPr>
          <w:sz w:val="24"/>
        </w:rPr>
        <w:t xml:space="preserve"> </w:t>
      </w:r>
      <w:r>
        <w:rPr>
          <w:sz w:val="24"/>
        </w:rPr>
        <w:t xml:space="preserve">zabaw i </w:t>
      </w:r>
      <w:r w:rsidRPr="000153E8">
        <w:rPr>
          <w:sz w:val="24"/>
        </w:rPr>
        <w:t> </w:t>
      </w:r>
      <w:r>
        <w:rPr>
          <w:sz w:val="24"/>
        </w:rPr>
        <w:t xml:space="preserve">miejsc </w:t>
      </w:r>
      <w:r w:rsidRPr="000153E8">
        <w:rPr>
          <w:sz w:val="24"/>
        </w:rPr>
        <w:t>aktywności fizycznej</w:t>
      </w:r>
      <w:r>
        <w:rPr>
          <w:sz w:val="24"/>
        </w:rPr>
        <w:t xml:space="preserve">. Harmonogramy udostępniane będą np.: na stronach internetowych: podmiotu realizującego zadnie, Urzędu Miasta Świnoujście. </w:t>
      </w:r>
    </w:p>
    <w:p w:rsidR="006A7729" w:rsidRPr="00866157" w:rsidRDefault="006A7729" w:rsidP="006A772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uprawnienia.</w:t>
      </w:r>
    </w:p>
    <w:p w:rsidR="006A7729" w:rsidRDefault="006A7729" w:rsidP="006A7729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Minimalna liczba godzin zajęć w trakcie trwania zadania</w:t>
      </w:r>
      <w:r w:rsidR="0030162B">
        <w:rPr>
          <w:sz w:val="24"/>
        </w:rPr>
        <w:t xml:space="preserve"> - 38</w:t>
      </w:r>
      <w:r>
        <w:rPr>
          <w:sz w:val="24"/>
        </w:rPr>
        <w:t xml:space="preserve">0. </w:t>
      </w:r>
    </w:p>
    <w:p w:rsidR="006A7729" w:rsidRDefault="006A7729" w:rsidP="006A7729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>W dni deszczowe zajęcia animacyjno-profilaktyczne nie będą realizowane – możliwe będzie przeniesienie ich na inny termin.</w:t>
      </w:r>
    </w:p>
    <w:p w:rsidR="006A7729" w:rsidRPr="000F681E" w:rsidRDefault="006A7729" w:rsidP="006A7729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W ramach realizacji zadania możliwe będą zakupy materiałowe np. w postaci sprzętu sportowego, materiałów plastycznych - niezbędnych do uatrakcyjnienia zajęć oraz promocja projektu, w tym w placówkach oświatowych.</w:t>
      </w:r>
    </w:p>
    <w:p w:rsidR="006A7729" w:rsidRPr="000153E8" w:rsidRDefault="006A7729" w:rsidP="006A772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  <w:lang w:bidi="pl-PL"/>
        </w:rPr>
        <w:t>Działania</w:t>
      </w:r>
      <w:r>
        <w:rPr>
          <w:sz w:val="24"/>
          <w:lang w:bidi="pl-PL"/>
        </w:rPr>
        <w:t xml:space="preserve"> podejmowane przez animatorów profilaktycznych mają</w:t>
      </w:r>
      <w:r w:rsidRPr="000153E8">
        <w:rPr>
          <w:sz w:val="24"/>
          <w:lang w:bidi="pl-PL"/>
        </w:rPr>
        <w:t xml:space="preserve"> na celu:</w:t>
      </w:r>
    </w:p>
    <w:p w:rsidR="006A7729" w:rsidRPr="000153E8" w:rsidRDefault="006A7729" w:rsidP="006A772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 xml:space="preserve">kształtowanie nawyku uczestnictwa </w:t>
      </w:r>
      <w:r>
        <w:rPr>
          <w:sz w:val="24"/>
        </w:rPr>
        <w:t xml:space="preserve">dzieci i młodzieży </w:t>
      </w:r>
      <w:r w:rsidRPr="000153E8">
        <w:rPr>
          <w:sz w:val="24"/>
        </w:rPr>
        <w:t>w zajęciach sportowo – rekreacyjnych</w:t>
      </w:r>
      <w:r w:rsidRPr="001B50B7">
        <w:rPr>
          <w:sz w:val="24"/>
        </w:rPr>
        <w:t xml:space="preserve"> </w:t>
      </w:r>
      <w:r w:rsidRPr="000153E8">
        <w:rPr>
          <w:sz w:val="24"/>
        </w:rPr>
        <w:t xml:space="preserve">jako elementu profilaktyki prozdrowotnej, </w:t>
      </w:r>
    </w:p>
    <w:p w:rsidR="006A7729" w:rsidRPr="000153E8" w:rsidRDefault="006A7729" w:rsidP="006A772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kształtowanie umiejętności współdziałania w grupie rówieśniczej i społecznej przez wspólną naukę, zabawę i wybór właściwych form spędzania wolnego czasu,</w:t>
      </w:r>
    </w:p>
    <w:p w:rsidR="006A7729" w:rsidRPr="000153E8" w:rsidRDefault="006A7729" w:rsidP="006A772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lastRenderedPageBreak/>
        <w:t>inicjowanie i nawiązywanie kontaktów z dziećmi i młodzieżą oraz ich rodzicami</w:t>
      </w:r>
      <w:r>
        <w:rPr>
          <w:sz w:val="24"/>
        </w:rPr>
        <w:t>/</w:t>
      </w:r>
      <w:r w:rsidRPr="000153E8">
        <w:rPr>
          <w:sz w:val="24"/>
        </w:rPr>
        <w:t xml:space="preserve"> opiekunami, proponowanie wspólnych zajęć,</w:t>
      </w:r>
      <w:r>
        <w:rPr>
          <w:sz w:val="24"/>
        </w:rPr>
        <w:t xml:space="preserve"> pracy w tym wolontariatu, </w:t>
      </w:r>
    </w:p>
    <w:p w:rsidR="006A7729" w:rsidRDefault="006A7729" w:rsidP="006A772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 xml:space="preserve">integrowanie </w:t>
      </w:r>
      <w:r>
        <w:rPr>
          <w:sz w:val="24"/>
        </w:rPr>
        <w:t>środowiska lokalnego; rozwijanie aktywności społecznej i kulturalnej,</w:t>
      </w:r>
    </w:p>
    <w:p w:rsidR="006A7729" w:rsidRPr="006A7729" w:rsidRDefault="006A7729" w:rsidP="006A7729">
      <w:pPr>
        <w:pStyle w:val="Akapitzlist"/>
        <w:numPr>
          <w:ilvl w:val="0"/>
          <w:numId w:val="35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 w:rsidRPr="005B186D">
        <w:rPr>
          <w:sz w:val="24"/>
        </w:rPr>
        <w:t>rozpoznanie potencjału, potrzeb i problemów grup, społeczności lokalnej w szczególności zagrożonych zjawiskiem wykluczenia społecznego lub dotkniętych tym zjawiskiem, prowadze</w:t>
      </w:r>
      <w:r>
        <w:rPr>
          <w:sz w:val="24"/>
        </w:rPr>
        <w:t>nie  niezbędnej dokumentacji.</w:t>
      </w:r>
    </w:p>
    <w:p w:rsidR="009E29D2" w:rsidRPr="002862FD" w:rsidRDefault="009E29D2" w:rsidP="006A772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894906">
        <w:rPr>
          <w:sz w:val="24"/>
        </w:rPr>
        <w:t xml:space="preserve">Przed nawiązaniem z członkami kadry stosunku pracy lub przed dopuszczeniem ich do </w:t>
      </w:r>
      <w:r w:rsidRPr="002862FD">
        <w:rPr>
          <w:sz w:val="24"/>
        </w:rPr>
        <w:t>działalności związanej z pracą z małoletnimi, oferent jest zobow</w:t>
      </w:r>
      <w:r w:rsidR="00CC4306" w:rsidRPr="002862FD">
        <w:rPr>
          <w:sz w:val="24"/>
        </w:rPr>
        <w:t xml:space="preserve">iązany </w:t>
      </w:r>
      <w:r w:rsidR="002862FD">
        <w:rPr>
          <w:sz w:val="24"/>
        </w:rPr>
        <w:t>wykonania  obowiązków</w:t>
      </w:r>
      <w:r w:rsidR="002862FD" w:rsidRPr="002862FD">
        <w:rPr>
          <w:sz w:val="24"/>
        </w:rPr>
        <w:t>, o których mowa art.</w:t>
      </w:r>
      <w:r w:rsidR="002862FD">
        <w:rPr>
          <w:sz w:val="24"/>
        </w:rPr>
        <w:t xml:space="preserve"> </w:t>
      </w:r>
      <w:r w:rsidR="002862FD" w:rsidRPr="002862FD">
        <w:rPr>
          <w:sz w:val="24"/>
        </w:rPr>
        <w:t>21 ust. 1 ustawy z dnia 13 maja 2016 r. o przeciwdziałaniu zagrożeniom przestępczością na tle seksualnym i ochronie małole</w:t>
      </w:r>
      <w:r w:rsidR="006067E9">
        <w:rPr>
          <w:sz w:val="24"/>
        </w:rPr>
        <w:t>tnich (Dz. U. z 2023 r. poz. 1304</w:t>
      </w:r>
      <w:r w:rsidR="002862FD" w:rsidRPr="002862FD">
        <w:rPr>
          <w:sz w:val="24"/>
        </w:rPr>
        <w:t>)</w:t>
      </w:r>
      <w:r w:rsidR="00B36F1B">
        <w:rPr>
          <w:sz w:val="24"/>
        </w:rPr>
        <w:t>.</w:t>
      </w:r>
    </w:p>
    <w:p w:rsidR="00EC3002" w:rsidRPr="002862FD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2023 r. poz. 1570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</w:t>
      </w:r>
      <w:r w:rsidRPr="00500093">
        <w:rPr>
          <w:sz w:val="24"/>
        </w:rPr>
        <w:lastRenderedPageBreak/>
        <w:t xml:space="preserve">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265AA9">
        <w:rPr>
          <w:rStyle w:val="citation-line"/>
          <w:sz w:val="24"/>
        </w:rPr>
        <w:t xml:space="preserve"> z 2023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1</w:t>
      </w:r>
      <w:r w:rsidR="00265AA9">
        <w:rPr>
          <w:rStyle w:val="citation-line"/>
          <w:sz w:val="24"/>
        </w:rPr>
        <w:t>570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4503E5">
        <w:rPr>
          <w:color w:val="000000"/>
          <w:sz w:val="24"/>
          <w:lang w:eastAsia="en-US" w:bidi="en-US"/>
        </w:rPr>
        <w:t xml:space="preserve"> </w:t>
      </w:r>
      <w:bookmarkStart w:id="0" w:name="_GoBack"/>
      <w:bookmarkEnd w:id="0"/>
      <w:r w:rsidR="002F691C">
        <w:rPr>
          <w:color w:val="000000"/>
          <w:sz w:val="24"/>
          <w:lang w:eastAsia="en-US" w:bidi="en-US"/>
        </w:rPr>
        <w:t>215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2F691C">
        <w:rPr>
          <w:color w:val="000000"/>
          <w:sz w:val="24"/>
          <w:lang w:eastAsia="en-US" w:bidi="en-US"/>
        </w:rPr>
        <w:t>21</w:t>
      </w:r>
      <w:r w:rsidR="006A7729">
        <w:rPr>
          <w:color w:val="000000"/>
          <w:sz w:val="24"/>
          <w:lang w:eastAsia="en-US" w:bidi="en-US"/>
        </w:rPr>
        <w:t xml:space="preserve"> marca</w:t>
      </w:r>
      <w:r w:rsidR="003C79CE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2320C5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3C79CE">
        <w:rPr>
          <w:rFonts w:eastAsia="Lucida Sans Unicode"/>
          <w:color w:val="000000"/>
          <w:sz w:val="24"/>
          <w:lang w:eastAsia="en-US" w:bidi="en-US"/>
        </w:rPr>
        <w:t>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2320C5">
        <w:rPr>
          <w:rFonts w:eastAsia="Lucida Sans Unicode"/>
          <w:color w:val="000000"/>
          <w:sz w:val="24"/>
          <w:lang w:eastAsia="en-US" w:bidi="en-US"/>
        </w:rPr>
        <w:t>ób realizujących zadanie do 2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3C79CE" w:rsidRPr="007936F8" w:rsidRDefault="003C79CE" w:rsidP="003C79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wkładu własnego oferenta do 10 punktów w tym: </w:t>
      </w:r>
      <w:r w:rsidRPr="007936F8">
        <w:rPr>
          <w:rFonts w:eastAsia="Lucida Sans Unicode"/>
          <w:color w:val="000000"/>
          <w:sz w:val="24"/>
          <w:lang w:eastAsia="en-US" w:bidi="en-US"/>
        </w:rPr>
        <w:t>do 5%</w:t>
      </w:r>
      <w:r w:rsidRPr="007936F8">
        <w:rPr>
          <w:bCs/>
          <w:color w:val="000000"/>
          <w:sz w:val="24"/>
          <w:lang w:eastAsia="en-US" w:bidi="en-US"/>
        </w:rPr>
        <w:t xml:space="preserve"> wkładu własnego podmiotu – 5 punktów, powyżej 5% wkładu własnego podmiotu – 10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lastRenderedPageBreak/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2F691C">
        <w:rPr>
          <w:b/>
          <w:bCs/>
          <w:color w:val="000000"/>
          <w:sz w:val="24"/>
          <w:lang w:eastAsia="en-US" w:bidi="en-US"/>
        </w:rPr>
        <w:t xml:space="preserve"> 12 </w:t>
      </w:r>
      <w:r w:rsidR="006A7729">
        <w:rPr>
          <w:b/>
          <w:bCs/>
          <w:color w:val="000000"/>
          <w:sz w:val="24"/>
          <w:lang w:eastAsia="en-US" w:bidi="en-US"/>
        </w:rPr>
        <w:t xml:space="preserve"> kwietnia </w:t>
      </w:r>
      <w:r w:rsidR="003C79CE">
        <w:rPr>
          <w:b/>
          <w:bCs/>
          <w:color w:val="000000"/>
          <w:sz w:val="24"/>
          <w:lang w:eastAsia="en-US" w:bidi="en-US"/>
        </w:rPr>
        <w:t xml:space="preserve"> 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2F691C">
        <w:rPr>
          <w:color w:val="000000"/>
          <w:sz w:val="24"/>
          <w:lang w:eastAsia="en-US" w:bidi="en-US"/>
        </w:rPr>
        <w:t xml:space="preserve"> 215</w:t>
      </w:r>
      <w:r w:rsidR="001F057F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2F691C">
        <w:rPr>
          <w:color w:val="000000"/>
          <w:sz w:val="24"/>
          <w:lang w:eastAsia="en-US" w:bidi="en-US"/>
        </w:rPr>
        <w:t xml:space="preserve"> 21</w:t>
      </w:r>
      <w:r w:rsidR="006A7729">
        <w:rPr>
          <w:color w:val="000000"/>
          <w:sz w:val="24"/>
          <w:lang w:eastAsia="en-US" w:bidi="en-US"/>
        </w:rPr>
        <w:t xml:space="preserve">  marca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7178EC" w:rsidRDefault="00AA4931" w:rsidP="007178EC">
      <w:pPr>
        <w:pStyle w:val="Akapitzlist"/>
        <w:numPr>
          <w:ilvl w:val="0"/>
          <w:numId w:val="36"/>
        </w:numPr>
        <w:jc w:val="both"/>
        <w:rPr>
          <w:sz w:val="24"/>
        </w:rPr>
      </w:pPr>
      <w:r w:rsidRPr="007178EC">
        <w:rPr>
          <w:sz w:val="24"/>
        </w:rPr>
        <w:t xml:space="preserve">uwzględnienie odwołania, </w:t>
      </w:r>
    </w:p>
    <w:p w:rsidR="00AA4931" w:rsidRPr="007178EC" w:rsidRDefault="00AA4931" w:rsidP="007178EC">
      <w:pPr>
        <w:pStyle w:val="Akapitzlist"/>
        <w:numPr>
          <w:ilvl w:val="0"/>
          <w:numId w:val="36"/>
        </w:numPr>
        <w:jc w:val="both"/>
        <w:rPr>
          <w:sz w:val="24"/>
        </w:rPr>
      </w:pPr>
      <w:r w:rsidRPr="007178EC">
        <w:rPr>
          <w:sz w:val="24"/>
        </w:rPr>
        <w:t xml:space="preserve">częściowe uwzględnienie odwołania, </w:t>
      </w:r>
    </w:p>
    <w:p w:rsidR="00AA4931" w:rsidRPr="007178EC" w:rsidRDefault="00AA4931" w:rsidP="007178E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</w:rPr>
      </w:pPr>
      <w:r w:rsidRPr="007178EC">
        <w:rPr>
          <w:sz w:val="24"/>
        </w:rPr>
        <w:t xml:space="preserve">oddalenie odwołania, </w:t>
      </w:r>
    </w:p>
    <w:p w:rsidR="00AA4931" w:rsidRPr="007178EC" w:rsidRDefault="00AA4931" w:rsidP="007178E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</w:rPr>
      </w:pPr>
      <w:r w:rsidRPr="007178EC">
        <w:rPr>
          <w:sz w:val="24"/>
        </w:rPr>
        <w:t>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3C79CE" w:rsidRDefault="003C79CE" w:rsidP="003C79CE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 w:rsidR="006A7729">
        <w:rPr>
          <w:b/>
          <w:bCs/>
          <w:color w:val="000000"/>
          <w:sz w:val="24"/>
          <w:lang w:eastAsia="en-US" w:bidi="en-US"/>
        </w:rPr>
        <w:t>2</w:t>
      </w:r>
      <w:r>
        <w:rPr>
          <w:b/>
          <w:bCs/>
          <w:color w:val="000000"/>
          <w:sz w:val="24"/>
          <w:lang w:eastAsia="en-US" w:bidi="en-US"/>
        </w:rPr>
        <w:t>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CF36D798"/>
    <w:lvl w:ilvl="0" w:tplc="2A36B7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94289E"/>
    <w:multiLevelType w:val="hybridMultilevel"/>
    <w:tmpl w:val="F12A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1025"/>
    <w:multiLevelType w:val="hybridMultilevel"/>
    <w:tmpl w:val="36826D4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10D3"/>
    <w:multiLevelType w:val="hybridMultilevel"/>
    <w:tmpl w:val="AEAA1F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5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A4843"/>
    <w:multiLevelType w:val="hybridMultilevel"/>
    <w:tmpl w:val="C96CE02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30C84"/>
    <w:multiLevelType w:val="multilevel"/>
    <w:tmpl w:val="4BBE3858"/>
    <w:lvl w:ilvl="0">
      <w:start w:val="1"/>
      <w:numFmt w:val="decimal"/>
      <w:lvlText w:val="%1)"/>
      <w:lvlJc w:val="left"/>
      <w:pPr>
        <w:tabs>
          <w:tab w:val="num" w:pos="-414"/>
        </w:tabs>
        <w:ind w:left="-41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54"/>
        </w:tabs>
        <w:ind w:left="-5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666"/>
        </w:tabs>
        <w:ind w:left="66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1746"/>
        </w:tabs>
        <w:ind w:left="174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106"/>
        </w:tabs>
        <w:ind w:left="210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2466"/>
        </w:tabs>
        <w:ind w:left="2466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7E957A69"/>
    <w:multiLevelType w:val="hybridMultilevel"/>
    <w:tmpl w:val="A0AA02B2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39"/>
  </w:num>
  <w:num w:numId="5">
    <w:abstractNumId w:val="36"/>
  </w:num>
  <w:num w:numId="6">
    <w:abstractNumId w:val="10"/>
  </w:num>
  <w:num w:numId="7">
    <w:abstractNumId w:val="16"/>
  </w:num>
  <w:num w:numId="8">
    <w:abstractNumId w:val="34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3"/>
  </w:num>
  <w:num w:numId="18">
    <w:abstractNumId w:val="38"/>
  </w:num>
  <w:num w:numId="19">
    <w:abstractNumId w:val="29"/>
  </w:num>
  <w:num w:numId="20">
    <w:abstractNumId w:val="13"/>
  </w:num>
  <w:num w:numId="21">
    <w:abstractNumId w:val="28"/>
  </w:num>
  <w:num w:numId="22">
    <w:abstractNumId w:val="18"/>
  </w:num>
  <w:num w:numId="23">
    <w:abstractNumId w:val="31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5"/>
  </w:num>
  <w:num w:numId="32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</w:num>
  <w:num w:numId="34">
    <w:abstractNumId w:val="40"/>
  </w:num>
  <w:num w:numId="35">
    <w:abstractNumId w:val="37"/>
  </w:num>
  <w:num w:numId="3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4F08"/>
    <w:rsid w:val="000B7CC3"/>
    <w:rsid w:val="000C2F36"/>
    <w:rsid w:val="000C3DB5"/>
    <w:rsid w:val="000C4EBB"/>
    <w:rsid w:val="000C50D5"/>
    <w:rsid w:val="000D0B27"/>
    <w:rsid w:val="000D28CA"/>
    <w:rsid w:val="000D2A56"/>
    <w:rsid w:val="000D3BD1"/>
    <w:rsid w:val="000F0B09"/>
    <w:rsid w:val="00102197"/>
    <w:rsid w:val="0011010A"/>
    <w:rsid w:val="00110A5F"/>
    <w:rsid w:val="001176E7"/>
    <w:rsid w:val="00122D06"/>
    <w:rsid w:val="00134690"/>
    <w:rsid w:val="001348E6"/>
    <w:rsid w:val="00135F6C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46D1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6DCF"/>
    <w:rsid w:val="00225EC4"/>
    <w:rsid w:val="002320C5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0713"/>
    <w:rsid w:val="002652F8"/>
    <w:rsid w:val="00265AA9"/>
    <w:rsid w:val="002849F1"/>
    <w:rsid w:val="00285A3C"/>
    <w:rsid w:val="002862FD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D3731"/>
    <w:rsid w:val="002E4E90"/>
    <w:rsid w:val="002E6D73"/>
    <w:rsid w:val="002E778B"/>
    <w:rsid w:val="002F632C"/>
    <w:rsid w:val="002F691C"/>
    <w:rsid w:val="0030162B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C79CE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03E5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36F"/>
    <w:rsid w:val="004E4D85"/>
    <w:rsid w:val="004F3E02"/>
    <w:rsid w:val="004F5B8E"/>
    <w:rsid w:val="00500093"/>
    <w:rsid w:val="0050385F"/>
    <w:rsid w:val="00520703"/>
    <w:rsid w:val="00530036"/>
    <w:rsid w:val="00530B0B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067E9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A7729"/>
    <w:rsid w:val="006B72F6"/>
    <w:rsid w:val="006C6FFC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178EC"/>
    <w:rsid w:val="007226C7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6693C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4906"/>
    <w:rsid w:val="00896C2D"/>
    <w:rsid w:val="00897119"/>
    <w:rsid w:val="008A58F7"/>
    <w:rsid w:val="008D245F"/>
    <w:rsid w:val="008E3D8C"/>
    <w:rsid w:val="008F3167"/>
    <w:rsid w:val="008F5BE9"/>
    <w:rsid w:val="009032CD"/>
    <w:rsid w:val="00903D99"/>
    <w:rsid w:val="0091205B"/>
    <w:rsid w:val="00914BBE"/>
    <w:rsid w:val="00915CF4"/>
    <w:rsid w:val="00921288"/>
    <w:rsid w:val="00921F55"/>
    <w:rsid w:val="0093364F"/>
    <w:rsid w:val="00933975"/>
    <w:rsid w:val="009360EA"/>
    <w:rsid w:val="0093745B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B1BE7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17FE"/>
    <w:rsid w:val="00B17D2D"/>
    <w:rsid w:val="00B206C3"/>
    <w:rsid w:val="00B26EEC"/>
    <w:rsid w:val="00B27B58"/>
    <w:rsid w:val="00B30604"/>
    <w:rsid w:val="00B366AC"/>
    <w:rsid w:val="00B36701"/>
    <w:rsid w:val="00B36F1B"/>
    <w:rsid w:val="00B37CA6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2E6F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2DBF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3163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511C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B4F0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8B19-6FB1-45ED-97C7-DF939844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6</Pages>
  <Words>2884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373</cp:revision>
  <cp:lastPrinted>2024-02-19T06:43:00Z</cp:lastPrinted>
  <dcterms:created xsi:type="dcterms:W3CDTF">2016-10-11T06:58:00Z</dcterms:created>
  <dcterms:modified xsi:type="dcterms:W3CDTF">2024-03-21T12:58:00Z</dcterms:modified>
</cp:coreProperties>
</file>