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CB5895">
        <w:rPr>
          <w:color w:val="000000"/>
          <w:sz w:val="20"/>
          <w:szCs w:val="20"/>
          <w:lang w:eastAsia="en-US" w:bidi="en-US"/>
        </w:rPr>
        <w:t xml:space="preserve">  111</w:t>
      </w:r>
      <w:r w:rsidR="00265AA9">
        <w:rPr>
          <w:color w:val="000000"/>
          <w:sz w:val="20"/>
          <w:szCs w:val="20"/>
          <w:lang w:eastAsia="en-US" w:bidi="en-US"/>
        </w:rPr>
        <w:t xml:space="preserve"> /2024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CB5895">
        <w:rPr>
          <w:color w:val="000000"/>
          <w:sz w:val="20"/>
          <w:szCs w:val="20"/>
          <w:lang w:eastAsia="en-US" w:bidi="en-US"/>
        </w:rPr>
        <w:t>16</w:t>
      </w:r>
      <w:r w:rsidR="00CE424B">
        <w:rPr>
          <w:color w:val="000000"/>
          <w:sz w:val="20"/>
          <w:szCs w:val="20"/>
          <w:lang w:eastAsia="en-US" w:bidi="en-US"/>
        </w:rPr>
        <w:t xml:space="preserve">  lutego </w:t>
      </w:r>
      <w:r w:rsidR="00265AA9">
        <w:rPr>
          <w:color w:val="000000"/>
          <w:sz w:val="20"/>
          <w:szCs w:val="20"/>
          <w:lang w:eastAsia="en-US" w:bidi="en-US"/>
        </w:rPr>
        <w:t xml:space="preserve"> 2024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186C10" w:rsidRPr="000B7CC3" w:rsidRDefault="00186C10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C76BE8">
        <w:rPr>
          <w:sz w:val="24"/>
          <w:lang w:eastAsia="ar-SA"/>
        </w:rPr>
        <w:t>(Dz. U. z 2022</w:t>
      </w:r>
      <w:r w:rsidR="00BB617D" w:rsidRPr="004348BC">
        <w:rPr>
          <w:sz w:val="24"/>
          <w:lang w:eastAsia="ar-SA"/>
        </w:rPr>
        <w:t> r.</w:t>
      </w:r>
      <w:r w:rsidR="00C76BE8">
        <w:rPr>
          <w:sz w:val="24"/>
          <w:lang w:eastAsia="ar-SA"/>
        </w:rPr>
        <w:t xml:space="preserve"> poz. 1608</w:t>
      </w:r>
      <w:r w:rsidR="00E22917">
        <w:rPr>
          <w:sz w:val="24"/>
          <w:lang w:eastAsia="ar-SA"/>
        </w:rPr>
        <w:t xml:space="preserve"> ze 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9A5601">
        <w:rPr>
          <w:color w:val="000000"/>
          <w:sz w:val="24"/>
          <w:lang w:eastAsia="en-US" w:bidi="en-US"/>
        </w:rPr>
        <w:t xml:space="preserve"> realizację niżej wymienionych </w:t>
      </w:r>
      <w:r w:rsidR="00545E73">
        <w:rPr>
          <w:color w:val="000000"/>
          <w:sz w:val="24"/>
          <w:lang w:eastAsia="en-US" w:bidi="en-US"/>
        </w:rPr>
        <w:t>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7D59BC" w:rsidRPr="004348BC">
        <w:rPr>
          <w:b/>
          <w:bCs/>
          <w:sz w:val="24"/>
        </w:rPr>
        <w:t>:</w:t>
      </w:r>
      <w:r w:rsidR="007D59BC">
        <w:rPr>
          <w:b/>
          <w:bCs/>
          <w:sz w:val="24"/>
        </w:rPr>
        <w:t xml:space="preserve"> </w:t>
      </w:r>
    </w:p>
    <w:p w:rsidR="00547D24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</w:p>
    <w:p w:rsidR="00C107C9" w:rsidRDefault="00AE631C" w:rsidP="00CE424B">
      <w:pPr>
        <w:pStyle w:val="Li"/>
        <w:tabs>
          <w:tab w:val="left" w:pos="425"/>
        </w:tabs>
        <w:jc w:val="both"/>
      </w:pPr>
      <w:r>
        <w:rPr>
          <w:kern w:val="1"/>
          <w:lang w:val="pl-PL"/>
        </w:rPr>
        <w:t>Realizacja,</w:t>
      </w:r>
      <w:r w:rsidRPr="00AE631C">
        <w:rPr>
          <w:bCs/>
        </w:rPr>
        <w:t xml:space="preserve"> </w:t>
      </w:r>
      <w:r>
        <w:rPr>
          <w:bCs/>
        </w:rPr>
        <w:t>w ramach Budżetu Obywatelskiego na rok 2024</w:t>
      </w:r>
      <w:r>
        <w:rPr>
          <w:bCs/>
          <w:lang w:val="pl-PL"/>
        </w:rPr>
        <w:t>,</w:t>
      </w:r>
      <w:r>
        <w:rPr>
          <w:kern w:val="1"/>
          <w:lang w:val="pl-PL"/>
        </w:rPr>
        <w:t xml:space="preserve"> </w:t>
      </w:r>
      <w:r w:rsidR="00C107C9">
        <w:rPr>
          <w:kern w:val="1"/>
        </w:rPr>
        <w:t>zadania</w:t>
      </w:r>
      <w:r w:rsidR="00CE424B" w:rsidRPr="0094220E">
        <w:rPr>
          <w:kern w:val="1"/>
        </w:rPr>
        <w:t xml:space="preserve"> z zakresu zdrowia publicznego</w:t>
      </w:r>
      <w:r w:rsidR="00CE424B">
        <w:rPr>
          <w:kern w:val="1"/>
        </w:rPr>
        <w:t xml:space="preserve"> </w:t>
      </w:r>
      <w:r w:rsidR="00CE424B" w:rsidRPr="00041EFF">
        <w:rPr>
          <w:bCs/>
        </w:rPr>
        <w:t xml:space="preserve">pn.: </w:t>
      </w:r>
      <w:r w:rsidR="00CE424B">
        <w:rPr>
          <w:bCs/>
          <w:lang w:val="pl-PL"/>
        </w:rPr>
        <w:t>„</w:t>
      </w:r>
      <w:r w:rsidR="00CE424B" w:rsidRPr="00532C9D">
        <w:rPr>
          <w:bCs/>
        </w:rPr>
        <w:t>Hipoterapia to pasja bez barier”</w:t>
      </w:r>
      <w:r w:rsidR="00C107C9">
        <w:rPr>
          <w:bCs/>
          <w:lang w:val="pl-PL"/>
        </w:rPr>
        <w:t>.</w:t>
      </w:r>
      <w:r w:rsidR="00C107C9">
        <w:t xml:space="preserve"> </w:t>
      </w:r>
    </w:p>
    <w:p w:rsidR="00CE424B" w:rsidRDefault="00C107C9" w:rsidP="00CE424B">
      <w:pPr>
        <w:pStyle w:val="Li"/>
        <w:tabs>
          <w:tab w:val="left" w:pos="425"/>
        </w:tabs>
        <w:jc w:val="both"/>
        <w:rPr>
          <w:bCs/>
          <w:lang w:val="pl-PL"/>
        </w:rPr>
      </w:pPr>
      <w:r>
        <w:rPr>
          <w:lang w:val="pl-PL"/>
        </w:rPr>
        <w:t>K</w:t>
      </w:r>
      <w:r w:rsidR="00CE424B" w:rsidRPr="00041EFF">
        <w:t>wota przezn</w:t>
      </w:r>
      <w:r w:rsidR="00AE631C">
        <w:t>aczona na wykonanie</w:t>
      </w:r>
      <w:r w:rsidR="00BF617A">
        <w:t xml:space="preserve"> zadania</w:t>
      </w:r>
      <w:r w:rsidR="00CE424B" w:rsidRPr="00532C9D">
        <w:t xml:space="preserve"> </w:t>
      </w:r>
      <w:r w:rsidR="00CE424B" w:rsidRPr="00532C9D">
        <w:rPr>
          <w:bCs/>
        </w:rPr>
        <w:t>56.983</w:t>
      </w:r>
      <w:r w:rsidR="00CE424B" w:rsidRPr="00532C9D">
        <w:rPr>
          <w:bCs/>
          <w:lang w:val="pl-PL"/>
        </w:rPr>
        <w:t xml:space="preserve"> zł</w:t>
      </w:r>
      <w:r w:rsidR="00CE424B">
        <w:rPr>
          <w:bCs/>
          <w:lang w:val="pl-PL"/>
        </w:rPr>
        <w:t>.</w:t>
      </w:r>
    </w:p>
    <w:p w:rsidR="00CE424B" w:rsidRPr="00CE424B" w:rsidRDefault="00CE424B" w:rsidP="00CE424B">
      <w:pPr>
        <w:pStyle w:val="Li"/>
        <w:tabs>
          <w:tab w:val="left" w:pos="425"/>
        </w:tabs>
        <w:jc w:val="both"/>
        <w:rPr>
          <w:lang w:val="pl-PL"/>
        </w:rPr>
      </w:pPr>
      <w:r>
        <w:rPr>
          <w:bCs/>
          <w:lang w:val="pl-PL"/>
        </w:rPr>
        <w:t>Zadanie  do realizacji w okresie od  1 kwietnia  30 listopada 2024 r.</w:t>
      </w:r>
    </w:p>
    <w:p w:rsidR="005C44AF" w:rsidRDefault="005C44AF" w:rsidP="005B6041">
      <w:pPr>
        <w:spacing w:after="0" w:line="240" w:lineRule="auto"/>
        <w:jc w:val="both"/>
        <w:rPr>
          <w:b/>
          <w:bCs/>
          <w:sz w:val="24"/>
        </w:rPr>
      </w:pPr>
    </w:p>
    <w:p w:rsidR="00173BA2" w:rsidRPr="004348BC" w:rsidRDefault="004344D9" w:rsidP="00173BA2">
      <w:pP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>Ogólne warunki realizacji zadania</w:t>
      </w:r>
      <w:r w:rsidR="00173BA2" w:rsidRPr="004348BC">
        <w:rPr>
          <w:b/>
          <w:bCs/>
          <w:sz w:val="24"/>
        </w:rPr>
        <w:t xml:space="preserve">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 w:rsidR="00AD628E">
        <w:rPr>
          <w:color w:val="000000"/>
          <w:kern w:val="1"/>
          <w:sz w:val="24"/>
          <w:lang w:eastAsia="en-US" w:bidi="en-US"/>
        </w:rPr>
        <w:t>z 2023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 w:rsidR="00AD628E">
        <w:rPr>
          <w:color w:val="000000"/>
          <w:kern w:val="1"/>
          <w:sz w:val="24"/>
          <w:lang w:eastAsia="en-US" w:bidi="en-US"/>
        </w:rPr>
        <w:t>. 571</w:t>
      </w:r>
      <w:r w:rsidR="00376FB4">
        <w:rPr>
          <w:color w:val="000000"/>
          <w:kern w:val="1"/>
          <w:sz w:val="24"/>
          <w:lang w:eastAsia="en-US" w:bidi="en-US"/>
        </w:rPr>
        <w:t xml:space="preserve"> z </w:t>
      </w:r>
      <w:r w:rsidRPr="004348BC">
        <w:rPr>
          <w:color w:val="000000"/>
          <w:kern w:val="1"/>
          <w:sz w:val="24"/>
          <w:lang w:eastAsia="en-US" w:bidi="en-US"/>
        </w:rPr>
        <w:t>poźn. zm.).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Podmioty, które otrzymają środki finansowe na realizację zadania są zobowiązane zamieszczać w sposób czytelny informację</w:t>
      </w:r>
      <w:r w:rsidR="009B614B">
        <w:rPr>
          <w:sz w:val="24"/>
        </w:rPr>
        <w:t xml:space="preserve">, iż realizowany projekt jest </w:t>
      </w:r>
      <w:r w:rsidRPr="004348BC">
        <w:rPr>
          <w:sz w:val="24"/>
        </w:rPr>
        <w:t>finansowany z budżetu Miasta Świnoujście i w jakim procencie. Informacja, wraz z logotypem Miasta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>oferentem a Miastem Świnoujście (np.: wynagrodzenie realizatorów prog</w:t>
      </w:r>
      <w:r w:rsidR="009C38EE">
        <w:rPr>
          <w:sz w:val="24"/>
        </w:rPr>
        <w:t>r</w:t>
      </w:r>
      <w:r w:rsidR="00FB7904">
        <w:rPr>
          <w:sz w:val="24"/>
        </w:rPr>
        <w:t>amu, najem pomieszczeń, materiały</w:t>
      </w:r>
      <w:r w:rsidR="00866AE9">
        <w:rPr>
          <w:sz w:val="24"/>
        </w:rPr>
        <w:t>/artykuły</w:t>
      </w:r>
      <w:r w:rsidR="00FB7904">
        <w:rPr>
          <w:sz w:val="24"/>
        </w:rPr>
        <w:t xml:space="preserve"> niezbędne do przeprowadzenia zaję</w:t>
      </w:r>
      <w:r w:rsidR="009C38EE">
        <w:rPr>
          <w:sz w:val="24"/>
        </w:rPr>
        <w:t>ć)</w:t>
      </w:r>
      <w:r w:rsidR="00435019">
        <w:rPr>
          <w:sz w:val="24"/>
        </w:rPr>
        <w:t>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C407EA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lastRenderedPageBreak/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Oferent nie może posiadać wymagalnego zadłu</w:t>
      </w:r>
      <w:r w:rsidR="003E020A">
        <w:rPr>
          <w:sz w:val="24"/>
        </w:rPr>
        <w:t xml:space="preserve">żenia wobec Miasta Świnoujście </w:t>
      </w:r>
      <w:r w:rsidRPr="004348BC">
        <w:rPr>
          <w:sz w:val="24"/>
        </w:rPr>
        <w:t xml:space="preserve">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>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F26185" w:rsidRDefault="00F26185" w:rsidP="00F2618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realizując zadanie publiczne finansowane z udziałem środków publicznych zobowiązany jest stosować się do zasad związanych z zapewnieniem dostępności osobom ze szczególnymi potrzebami wynikającymi z art. 4 ust. 3 i ust. 4 oraz art. 5 ust. 1 i ust. 2 ustawy z dnia 19 lipca 2019 r. o zapewnieniu dostępności osobom ze szczególnymi potrzebami (Dz. U. z 2022 r. poz. 2240). Dostępność musi być zapewniona co najmniej w zakresie minimalnych wymagań określonych w art. 6 ww. ustawy. Obowiązek zapewnienia dostępności dotyczy proponowanego do realizacji zadania przedstawionego w ofercie składanej w ramach przedmiotowego konkursu. W przypadku braku obiektywnych możliwości zapewnienia dostępności, wynikających np. z powodów technicznych, obligatoryjnym staje się zapewnienie odbiorcom realizowanego zadania dostępu alternatywnego, o którym mowa w art. 7 ww. ustawy. W związku z powyższym, niezbędne jest wskazanie w ofercie, w jaki sposób zapewniona będzie realizacja wymagań, o których mowa w art. 6 ustawy o zapewnieniu dostępności osobom ze szczególnymi potrzebami, adekwatnych do realizacji danego zadania. Informacje o sposobie zapewnienia dostępności osobom ze szczególnymi potrzebami w ramach zadania przedstawionego w ofercie w obszarze architektonicznym, cyfrowym, komunikacyjno-informacyjnym lub przewidywanych formach dostępu alternatywnego, oferent powinien ws</w:t>
      </w:r>
      <w:r w:rsidR="0076117D">
        <w:rPr>
          <w:rFonts w:ascii="Times New Roman" w:hAnsi="Times New Roman" w:cs="Times New Roman"/>
        </w:rPr>
        <w:t>kazać w sekcji IV pkt 8 oferty.</w:t>
      </w: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</w:t>
      </w:r>
      <w:r w:rsidR="000C583F">
        <w:rPr>
          <w:b/>
          <w:color w:val="000000"/>
          <w:sz w:val="24"/>
          <w:lang w:eastAsia="en-US" w:bidi="en-US"/>
        </w:rPr>
        <w:t xml:space="preserve"> warunki realizacji zadania</w:t>
      </w:r>
      <w:r w:rsidRPr="004348BC">
        <w:rPr>
          <w:b/>
          <w:color w:val="000000"/>
          <w:sz w:val="24"/>
          <w:lang w:eastAsia="en-US" w:bidi="en-US"/>
        </w:rPr>
        <w:t>:</w:t>
      </w:r>
    </w:p>
    <w:p w:rsidR="002647E9" w:rsidRPr="004344D9" w:rsidRDefault="004344D9" w:rsidP="002647E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Projekt promocji zdrowia, którego celem</w:t>
      </w:r>
      <w:r w:rsidR="000143E1">
        <w:rPr>
          <w:color w:val="000000"/>
          <w:sz w:val="24"/>
          <w:lang w:eastAsia="en-US" w:bidi="en-US"/>
        </w:rPr>
        <w:t xml:space="preserve"> jest </w:t>
      </w:r>
      <w:r>
        <w:rPr>
          <w:color w:val="000000"/>
          <w:sz w:val="24"/>
          <w:lang w:eastAsia="en-US" w:bidi="en-US"/>
        </w:rPr>
        <w:t>poprawa kondycji psychicznej uczestników,  poprzez</w:t>
      </w:r>
      <w:r w:rsidR="00A777C8">
        <w:rPr>
          <w:color w:val="000000"/>
          <w:sz w:val="24"/>
          <w:lang w:eastAsia="en-US" w:bidi="en-US"/>
        </w:rPr>
        <w:t>:</w:t>
      </w:r>
      <w:r>
        <w:rPr>
          <w:color w:val="000000"/>
          <w:sz w:val="24"/>
          <w:lang w:eastAsia="en-US" w:bidi="en-US"/>
        </w:rPr>
        <w:t xml:space="preserve"> </w:t>
      </w:r>
      <w:r w:rsidR="00A777C8">
        <w:rPr>
          <w:color w:val="000000"/>
          <w:sz w:val="24"/>
          <w:lang w:eastAsia="en-US" w:bidi="en-US"/>
        </w:rPr>
        <w:t xml:space="preserve">udział w spotkaniach prowadzonych przez psychologa oraz psychoterapetutę uzależnień  oraz </w:t>
      </w:r>
      <w:r>
        <w:rPr>
          <w:color w:val="000000"/>
          <w:sz w:val="24"/>
          <w:lang w:eastAsia="en-US" w:bidi="en-US"/>
        </w:rPr>
        <w:t>aktywne spędzanie</w:t>
      </w:r>
      <w:r w:rsidR="00280102">
        <w:rPr>
          <w:color w:val="000000"/>
          <w:sz w:val="24"/>
          <w:lang w:eastAsia="en-US" w:bidi="en-US"/>
        </w:rPr>
        <w:t xml:space="preserve"> czasu wolnego </w:t>
      </w:r>
      <w:r>
        <w:rPr>
          <w:color w:val="000000"/>
          <w:sz w:val="24"/>
          <w:lang w:eastAsia="en-US" w:bidi="en-US"/>
        </w:rPr>
        <w:t>w kontak</w:t>
      </w:r>
      <w:r w:rsidR="00280102">
        <w:rPr>
          <w:color w:val="000000"/>
          <w:sz w:val="24"/>
          <w:lang w:eastAsia="en-US" w:bidi="en-US"/>
        </w:rPr>
        <w:t>cie</w:t>
      </w:r>
      <w:r w:rsidR="000143E1">
        <w:rPr>
          <w:color w:val="000000"/>
          <w:sz w:val="24"/>
          <w:lang w:eastAsia="en-US" w:bidi="en-US"/>
        </w:rPr>
        <w:t xml:space="preserve"> z naturą</w:t>
      </w:r>
      <w:r>
        <w:rPr>
          <w:color w:val="000000"/>
          <w:sz w:val="24"/>
          <w:lang w:eastAsia="en-US" w:bidi="en-US"/>
        </w:rPr>
        <w:t xml:space="preserve"> </w:t>
      </w:r>
      <w:r w:rsidR="000143E1">
        <w:rPr>
          <w:color w:val="000000"/>
          <w:sz w:val="24"/>
          <w:lang w:eastAsia="en-US" w:bidi="en-US"/>
        </w:rPr>
        <w:t>-</w:t>
      </w:r>
      <w:r>
        <w:rPr>
          <w:color w:val="000000"/>
          <w:sz w:val="24"/>
          <w:lang w:eastAsia="en-US" w:bidi="en-US"/>
        </w:rPr>
        <w:t xml:space="preserve"> pra</w:t>
      </w:r>
      <w:r w:rsidR="00A777C8">
        <w:rPr>
          <w:color w:val="000000"/>
          <w:sz w:val="24"/>
          <w:lang w:eastAsia="en-US" w:bidi="en-US"/>
        </w:rPr>
        <w:t>ca z koniem.</w:t>
      </w:r>
      <w:r>
        <w:rPr>
          <w:color w:val="000000"/>
          <w:sz w:val="24"/>
          <w:lang w:eastAsia="en-US" w:bidi="en-US"/>
        </w:rPr>
        <w:t xml:space="preserve"> </w:t>
      </w:r>
    </w:p>
    <w:p w:rsidR="003E020A" w:rsidRDefault="000143E1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Zadanie adresowane</w:t>
      </w:r>
      <w:r w:rsidR="003E020A" w:rsidRPr="004348BC">
        <w:rPr>
          <w:color w:val="000000"/>
          <w:sz w:val="24"/>
          <w:lang w:eastAsia="en-US" w:bidi="en-US"/>
        </w:rPr>
        <w:t xml:space="preserve"> </w:t>
      </w:r>
      <w:r>
        <w:rPr>
          <w:color w:val="000000"/>
          <w:sz w:val="24"/>
          <w:lang w:eastAsia="en-US" w:bidi="en-US"/>
        </w:rPr>
        <w:t xml:space="preserve">jest do </w:t>
      </w:r>
      <w:r w:rsidR="00DC3AE9">
        <w:rPr>
          <w:color w:val="000000"/>
          <w:sz w:val="24"/>
          <w:lang w:eastAsia="en-US" w:bidi="en-US"/>
        </w:rPr>
        <w:t xml:space="preserve">ok. </w:t>
      </w:r>
      <w:r w:rsidR="00AE631C">
        <w:rPr>
          <w:color w:val="000000"/>
          <w:sz w:val="24"/>
          <w:lang w:eastAsia="en-US" w:bidi="en-US"/>
        </w:rPr>
        <w:t>30 osó</w:t>
      </w:r>
      <w:r w:rsidR="008E0A30">
        <w:rPr>
          <w:color w:val="000000"/>
          <w:sz w:val="24"/>
          <w:lang w:eastAsia="en-US" w:bidi="en-US"/>
        </w:rPr>
        <w:t xml:space="preserve">b </w:t>
      </w:r>
      <w:r w:rsidRPr="004348BC">
        <w:rPr>
          <w:color w:val="000000"/>
          <w:sz w:val="24"/>
          <w:lang w:eastAsia="en-US" w:bidi="en-US"/>
        </w:rPr>
        <w:t>z terenu m</w:t>
      </w:r>
      <w:r>
        <w:rPr>
          <w:color w:val="000000"/>
          <w:sz w:val="24"/>
          <w:lang w:eastAsia="en-US" w:bidi="en-US"/>
        </w:rPr>
        <w:t xml:space="preserve">iasta Świnoujście, </w:t>
      </w:r>
      <w:r w:rsidR="008E0A30">
        <w:rPr>
          <w:color w:val="000000"/>
          <w:sz w:val="24"/>
          <w:lang w:eastAsia="en-US" w:bidi="en-US"/>
        </w:rPr>
        <w:t xml:space="preserve">młodzieży uczącej się, </w:t>
      </w:r>
      <w:r>
        <w:rPr>
          <w:color w:val="000000"/>
          <w:sz w:val="24"/>
          <w:lang w:eastAsia="en-US" w:bidi="en-US"/>
        </w:rPr>
        <w:t xml:space="preserve">w wieku od 16 do </w:t>
      </w:r>
      <w:r w:rsidR="003E020A">
        <w:rPr>
          <w:color w:val="000000"/>
          <w:sz w:val="24"/>
          <w:lang w:eastAsia="en-US" w:bidi="en-US"/>
        </w:rPr>
        <w:t xml:space="preserve">18 r.ż., </w:t>
      </w:r>
      <w:r>
        <w:rPr>
          <w:color w:val="000000"/>
          <w:sz w:val="24"/>
          <w:lang w:eastAsia="en-US" w:bidi="en-US"/>
        </w:rPr>
        <w:t>zagrożonej wykluczeniem społecznym z powodu problemów psychicznych, osobowościowych i emocjonalnych</w:t>
      </w:r>
      <w:r w:rsidR="00AE631C">
        <w:rPr>
          <w:color w:val="000000"/>
          <w:sz w:val="24"/>
          <w:lang w:eastAsia="en-US" w:bidi="en-US"/>
        </w:rPr>
        <w:t>.</w:t>
      </w:r>
    </w:p>
    <w:p w:rsidR="000C583F" w:rsidRDefault="000C583F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Realizator zadania pozyska uczestników</w:t>
      </w:r>
      <w:r w:rsidR="008E0A30">
        <w:rPr>
          <w:color w:val="000000"/>
          <w:sz w:val="24"/>
          <w:lang w:eastAsia="en-US" w:bidi="en-US"/>
        </w:rPr>
        <w:t xml:space="preserve"> projektu</w:t>
      </w:r>
      <w:r>
        <w:rPr>
          <w:color w:val="000000"/>
          <w:sz w:val="24"/>
          <w:lang w:eastAsia="en-US" w:bidi="en-US"/>
        </w:rPr>
        <w:t xml:space="preserve"> ze wskazania</w:t>
      </w:r>
      <w:r w:rsidR="00C107C9">
        <w:rPr>
          <w:color w:val="000000"/>
          <w:sz w:val="24"/>
          <w:lang w:eastAsia="en-US" w:bidi="en-US"/>
        </w:rPr>
        <w:t>:</w:t>
      </w:r>
      <w:r>
        <w:rPr>
          <w:color w:val="000000"/>
          <w:sz w:val="24"/>
          <w:lang w:eastAsia="en-US" w:bidi="en-US"/>
        </w:rPr>
        <w:t xml:space="preserve"> placówek oświatowych, Poradni Psychologiczno-Pedagogicznej, Centrum Zdrowia Psychicznego. W przypadku większej liczby zgłoszeń niż miejsc w projekcie</w:t>
      </w:r>
      <w:r w:rsidR="00C107C9">
        <w:rPr>
          <w:color w:val="000000"/>
          <w:sz w:val="24"/>
          <w:lang w:eastAsia="en-US" w:bidi="en-US"/>
        </w:rPr>
        <w:t>, decyzję</w:t>
      </w:r>
      <w:r>
        <w:rPr>
          <w:color w:val="000000"/>
          <w:sz w:val="24"/>
          <w:lang w:eastAsia="en-US" w:bidi="en-US"/>
        </w:rPr>
        <w:t xml:space="preserve"> o uczestnictwie danego kandydata podejmie zespół terapeutyczny Centrum Zdrowia Psychicznego. </w:t>
      </w:r>
    </w:p>
    <w:p w:rsidR="00AE631C" w:rsidRDefault="000143E1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Uczestnicy projektu zostaną podzielni na trzy grupy, każda z grup </w:t>
      </w:r>
      <w:r w:rsidR="00AE631C">
        <w:rPr>
          <w:color w:val="000000"/>
          <w:sz w:val="24"/>
          <w:lang w:eastAsia="en-US" w:bidi="en-US"/>
        </w:rPr>
        <w:t>uczestniczyć będzie w</w:t>
      </w:r>
      <w:r w:rsidR="00DC3AE9">
        <w:rPr>
          <w:color w:val="000000"/>
          <w:sz w:val="24"/>
          <w:lang w:eastAsia="en-US" w:bidi="en-US"/>
        </w:rPr>
        <w:t xml:space="preserve"> cyklu zajęć</w:t>
      </w:r>
      <w:r w:rsidR="00AE631C">
        <w:rPr>
          <w:color w:val="000000"/>
          <w:sz w:val="24"/>
          <w:lang w:eastAsia="en-US" w:bidi="en-US"/>
        </w:rPr>
        <w:t>:</w:t>
      </w:r>
    </w:p>
    <w:p w:rsidR="00AE631C" w:rsidRDefault="008E0A30" w:rsidP="00645416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edukacyjnych </w:t>
      </w:r>
      <w:r w:rsidR="00AE631C">
        <w:rPr>
          <w:color w:val="000000"/>
          <w:sz w:val="24"/>
          <w:lang w:eastAsia="en-US" w:bidi="en-US"/>
        </w:rPr>
        <w:t>prowadzonych przez psychoterapeutę uzależ</w:t>
      </w:r>
      <w:r w:rsidR="00645416">
        <w:rPr>
          <w:color w:val="000000"/>
          <w:sz w:val="24"/>
          <w:lang w:eastAsia="en-US" w:bidi="en-US"/>
        </w:rPr>
        <w:t xml:space="preserve">nień  w wymiarze 18 </w:t>
      </w:r>
      <w:r w:rsidR="00AE631C">
        <w:rPr>
          <w:color w:val="000000"/>
          <w:sz w:val="24"/>
          <w:lang w:eastAsia="en-US" w:bidi="en-US"/>
        </w:rPr>
        <w:t>godzin i 40 min</w:t>
      </w:r>
      <w:r w:rsidR="00645416">
        <w:rPr>
          <w:color w:val="000000"/>
          <w:sz w:val="24"/>
          <w:lang w:eastAsia="en-US" w:bidi="en-US"/>
        </w:rPr>
        <w:t>.</w:t>
      </w:r>
      <w:r w:rsidR="00AE631C">
        <w:rPr>
          <w:color w:val="000000"/>
          <w:sz w:val="24"/>
          <w:lang w:eastAsia="en-US" w:bidi="en-US"/>
        </w:rPr>
        <w:t xml:space="preserve">, </w:t>
      </w:r>
    </w:p>
    <w:p w:rsidR="00AE631C" w:rsidRDefault="00AE631C" w:rsidP="00645416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profilaktyczno-terapeutycznych prow</w:t>
      </w:r>
      <w:r w:rsidR="00AA3FA7">
        <w:rPr>
          <w:color w:val="000000"/>
          <w:sz w:val="24"/>
          <w:lang w:eastAsia="en-US" w:bidi="en-US"/>
        </w:rPr>
        <w:t xml:space="preserve">adzonych przez psychologa oraz </w:t>
      </w:r>
      <w:r>
        <w:rPr>
          <w:color w:val="000000"/>
          <w:sz w:val="24"/>
          <w:lang w:eastAsia="en-US" w:bidi="en-US"/>
        </w:rPr>
        <w:t>instruktora</w:t>
      </w:r>
      <w:r w:rsidR="00645416">
        <w:rPr>
          <w:color w:val="000000"/>
          <w:sz w:val="24"/>
          <w:lang w:eastAsia="en-US" w:bidi="en-US"/>
        </w:rPr>
        <w:t xml:space="preserve"> jazdy konnej, w wymiarze </w:t>
      </w:r>
      <w:r>
        <w:rPr>
          <w:color w:val="000000"/>
          <w:sz w:val="24"/>
          <w:lang w:eastAsia="en-US" w:bidi="en-US"/>
        </w:rPr>
        <w:t>20 godzin i 40 min.,</w:t>
      </w:r>
    </w:p>
    <w:p w:rsidR="000143E1" w:rsidRDefault="00AE631C" w:rsidP="00AE631C">
      <w:pPr>
        <w:pStyle w:val="Akapitzlist"/>
        <w:widowControl w:val="0"/>
        <w:suppressAutoHyphens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łączna ilość zajęć dla jednej grupy to 39 godzin 20 minut.  </w:t>
      </w:r>
    </w:p>
    <w:p w:rsidR="00AE631C" w:rsidRDefault="00AE631C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Warunkiem udziału</w:t>
      </w:r>
      <w:r w:rsidR="00645416">
        <w:rPr>
          <w:color w:val="000000"/>
          <w:sz w:val="24"/>
          <w:lang w:eastAsia="en-US" w:bidi="en-US"/>
        </w:rPr>
        <w:t xml:space="preserve"> </w:t>
      </w:r>
      <w:r>
        <w:rPr>
          <w:color w:val="000000"/>
          <w:sz w:val="24"/>
          <w:lang w:eastAsia="en-US" w:bidi="en-US"/>
        </w:rPr>
        <w:t xml:space="preserve">w spotkaniach </w:t>
      </w:r>
      <w:r w:rsidR="00645416">
        <w:rPr>
          <w:color w:val="000000"/>
          <w:sz w:val="24"/>
          <w:lang w:eastAsia="en-US" w:bidi="en-US"/>
        </w:rPr>
        <w:t>profilaktyczno-terapeutycznych jest udział w zajęciach edukacyjnych.</w:t>
      </w:r>
    </w:p>
    <w:p w:rsidR="00645416" w:rsidRDefault="00645416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lastRenderedPageBreak/>
        <w:t>W trakcie spotkań profilaktyczno-terapeutycznych część grupy korzysta z jazdy konnej</w:t>
      </w:r>
      <w:r w:rsidR="008E0A30">
        <w:rPr>
          <w:color w:val="000000"/>
          <w:sz w:val="24"/>
          <w:lang w:eastAsia="en-US" w:bidi="en-US"/>
        </w:rPr>
        <w:t xml:space="preserve"> lub wykonuje inne czynności  związane z utrzymaniem konia, </w:t>
      </w:r>
      <w:r>
        <w:rPr>
          <w:color w:val="000000"/>
          <w:sz w:val="24"/>
          <w:lang w:eastAsia="en-US" w:bidi="en-US"/>
        </w:rPr>
        <w:t xml:space="preserve"> a pozostała pracuje</w:t>
      </w:r>
      <w:r w:rsidR="008E0A30">
        <w:rPr>
          <w:color w:val="000000"/>
          <w:sz w:val="24"/>
          <w:lang w:eastAsia="en-US" w:bidi="en-US"/>
        </w:rPr>
        <w:t xml:space="preserve"> </w:t>
      </w:r>
      <w:r>
        <w:rPr>
          <w:color w:val="000000"/>
          <w:sz w:val="24"/>
          <w:lang w:eastAsia="en-US" w:bidi="en-US"/>
        </w:rPr>
        <w:t>z psychologiem</w:t>
      </w:r>
      <w:r w:rsidR="00063D6D">
        <w:rPr>
          <w:color w:val="000000"/>
          <w:sz w:val="24"/>
          <w:lang w:eastAsia="en-US" w:bidi="en-US"/>
        </w:rPr>
        <w:t>.</w:t>
      </w:r>
    </w:p>
    <w:p w:rsidR="00063D6D" w:rsidRDefault="00017313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Projekt</w:t>
      </w:r>
      <w:r w:rsidR="00063D6D">
        <w:rPr>
          <w:color w:val="000000"/>
          <w:sz w:val="24"/>
          <w:lang w:eastAsia="en-US" w:bidi="en-US"/>
        </w:rPr>
        <w:t xml:space="preserve"> kończy </w:t>
      </w:r>
      <w:r>
        <w:rPr>
          <w:color w:val="000000"/>
          <w:sz w:val="24"/>
          <w:lang w:eastAsia="en-US" w:bidi="en-US"/>
        </w:rPr>
        <w:t>integracyjne</w:t>
      </w:r>
      <w:r w:rsidR="00063D6D">
        <w:rPr>
          <w:color w:val="000000"/>
          <w:sz w:val="24"/>
          <w:lang w:eastAsia="en-US" w:bidi="en-US"/>
        </w:rPr>
        <w:t xml:space="preserve"> spotkanie </w:t>
      </w:r>
      <w:r>
        <w:rPr>
          <w:color w:val="000000"/>
          <w:sz w:val="24"/>
          <w:lang w:eastAsia="en-US" w:bidi="en-US"/>
        </w:rPr>
        <w:t xml:space="preserve">przy ognisku </w:t>
      </w:r>
      <w:r w:rsidR="00063D6D">
        <w:rPr>
          <w:color w:val="000000"/>
          <w:sz w:val="24"/>
          <w:lang w:eastAsia="en-US" w:bidi="en-US"/>
        </w:rPr>
        <w:t xml:space="preserve"> </w:t>
      </w:r>
      <w:r>
        <w:rPr>
          <w:color w:val="000000"/>
          <w:sz w:val="24"/>
          <w:lang w:eastAsia="en-US" w:bidi="en-US"/>
        </w:rPr>
        <w:t>wszystkich</w:t>
      </w:r>
      <w:r w:rsidR="00063D6D">
        <w:rPr>
          <w:color w:val="000000"/>
          <w:sz w:val="24"/>
          <w:lang w:eastAsia="en-US" w:bidi="en-US"/>
        </w:rPr>
        <w:t xml:space="preserve"> </w:t>
      </w:r>
      <w:r>
        <w:rPr>
          <w:color w:val="000000"/>
          <w:sz w:val="24"/>
          <w:lang w:eastAsia="en-US" w:bidi="en-US"/>
        </w:rPr>
        <w:t>uczestników</w:t>
      </w:r>
      <w:r w:rsidR="00063D6D">
        <w:rPr>
          <w:color w:val="000000"/>
          <w:sz w:val="24"/>
          <w:lang w:eastAsia="en-US" w:bidi="en-US"/>
        </w:rPr>
        <w:t xml:space="preserve"> </w:t>
      </w:r>
      <w:r w:rsidR="00E63C16">
        <w:rPr>
          <w:color w:val="000000"/>
          <w:sz w:val="24"/>
          <w:lang w:eastAsia="en-US" w:bidi="en-US"/>
        </w:rPr>
        <w:t>oraz kadry.</w:t>
      </w:r>
    </w:p>
    <w:p w:rsidR="00E63C16" w:rsidRDefault="00E63C16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W ramach realizacji</w:t>
      </w:r>
      <w:r w:rsidR="000C583F">
        <w:rPr>
          <w:color w:val="000000"/>
          <w:sz w:val="24"/>
          <w:lang w:eastAsia="en-US" w:bidi="en-US"/>
        </w:rPr>
        <w:t xml:space="preserve"> zadnia</w:t>
      </w:r>
      <w:r>
        <w:rPr>
          <w:color w:val="000000"/>
          <w:sz w:val="24"/>
          <w:lang w:eastAsia="en-US" w:bidi="en-US"/>
        </w:rPr>
        <w:t xml:space="preserve"> możliwe </w:t>
      </w:r>
      <w:r w:rsidR="000C583F">
        <w:rPr>
          <w:color w:val="000000"/>
          <w:sz w:val="24"/>
          <w:lang w:eastAsia="en-US" w:bidi="en-US"/>
        </w:rPr>
        <w:t>są zakup</w:t>
      </w:r>
      <w:r>
        <w:rPr>
          <w:color w:val="000000"/>
          <w:sz w:val="24"/>
          <w:lang w:eastAsia="en-US" w:bidi="en-US"/>
        </w:rPr>
        <w:t>y materiałowe</w:t>
      </w:r>
      <w:r w:rsidR="002647E9">
        <w:rPr>
          <w:color w:val="000000"/>
          <w:sz w:val="24"/>
          <w:lang w:eastAsia="en-US" w:bidi="en-US"/>
        </w:rPr>
        <w:t>.</w:t>
      </w:r>
    </w:p>
    <w:p w:rsidR="003E020A" w:rsidRPr="002647E9" w:rsidRDefault="000C583F" w:rsidP="002647E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2647E9">
        <w:rPr>
          <w:color w:val="000000"/>
          <w:sz w:val="24"/>
          <w:lang w:eastAsia="en-US" w:bidi="en-US"/>
        </w:rPr>
        <w:t>Miejsce realizacji zadania: Centrum Zdrowia Psychicznego Szpitala Miejskiego im. Jana Garduły w Świnoujściu</w:t>
      </w:r>
      <w:r w:rsidR="00DC3AE9">
        <w:rPr>
          <w:color w:val="000000"/>
          <w:sz w:val="24"/>
          <w:lang w:eastAsia="en-US" w:bidi="en-US"/>
        </w:rPr>
        <w:t xml:space="preserve"> oraz wybrana</w:t>
      </w:r>
      <w:r w:rsidR="004102D4" w:rsidRPr="002647E9">
        <w:rPr>
          <w:color w:val="000000"/>
          <w:sz w:val="24"/>
          <w:lang w:eastAsia="en-US" w:bidi="en-US"/>
        </w:rPr>
        <w:t xml:space="preserve"> przez reali</w:t>
      </w:r>
      <w:r w:rsidR="00DC3AE9">
        <w:rPr>
          <w:color w:val="000000"/>
          <w:sz w:val="24"/>
          <w:lang w:eastAsia="en-US" w:bidi="en-US"/>
        </w:rPr>
        <w:t>zatora stadnina</w:t>
      </w:r>
      <w:r w:rsidR="002647E9" w:rsidRPr="002647E9">
        <w:rPr>
          <w:color w:val="000000"/>
          <w:sz w:val="24"/>
          <w:lang w:eastAsia="en-US" w:bidi="en-US"/>
        </w:rPr>
        <w:t xml:space="preserve">, która </w:t>
      </w:r>
      <w:r w:rsidR="002647E9">
        <w:rPr>
          <w:color w:val="000000"/>
          <w:sz w:val="24"/>
          <w:lang w:eastAsia="en-US" w:bidi="en-US"/>
        </w:rPr>
        <w:t>posiada wykw</w:t>
      </w:r>
      <w:r w:rsidR="00C107C9">
        <w:rPr>
          <w:color w:val="000000"/>
          <w:sz w:val="24"/>
          <w:lang w:eastAsia="en-US" w:bidi="en-US"/>
        </w:rPr>
        <w:t>alifikowaną kadrę instruktorską oraz</w:t>
      </w:r>
      <w:r w:rsidR="002647E9">
        <w:rPr>
          <w:color w:val="000000"/>
          <w:sz w:val="24"/>
          <w:lang w:eastAsia="en-US" w:bidi="en-US"/>
        </w:rPr>
        <w:t xml:space="preserve"> </w:t>
      </w:r>
      <w:r w:rsidR="00DC3AE9">
        <w:rPr>
          <w:color w:val="000000"/>
          <w:sz w:val="24"/>
          <w:lang w:eastAsia="en-US" w:bidi="en-US"/>
        </w:rPr>
        <w:t xml:space="preserve">konie z </w:t>
      </w:r>
      <w:r w:rsidR="00DC3AE9">
        <w:rPr>
          <w:rFonts w:cstheme="minorHAnsi"/>
          <w:sz w:val="24"/>
        </w:rPr>
        <w:t>aktualnymi</w:t>
      </w:r>
      <w:r w:rsidR="002647E9">
        <w:rPr>
          <w:rFonts w:cstheme="minorHAnsi"/>
          <w:sz w:val="24"/>
        </w:rPr>
        <w:t xml:space="preserve"> zaświadczenia</w:t>
      </w:r>
      <w:r w:rsidR="00DC3AE9">
        <w:rPr>
          <w:rFonts w:cstheme="minorHAnsi"/>
          <w:sz w:val="24"/>
        </w:rPr>
        <w:t>mi weterynaryjnymi</w:t>
      </w:r>
      <w:r w:rsidR="002647E9" w:rsidRPr="002647E9">
        <w:rPr>
          <w:rFonts w:cstheme="minorHAnsi"/>
          <w:sz w:val="24"/>
        </w:rPr>
        <w:t xml:space="preserve"> o</w:t>
      </w:r>
      <w:r w:rsidR="00DC3AE9">
        <w:rPr>
          <w:rFonts w:cstheme="minorHAnsi"/>
          <w:sz w:val="24"/>
        </w:rPr>
        <w:t xml:space="preserve"> stanie zdrowia i szczepieniach.</w:t>
      </w:r>
    </w:p>
    <w:p w:rsidR="00265AA9" w:rsidRDefault="000C583F" w:rsidP="000C583F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0C583F">
        <w:rPr>
          <w:color w:val="000000"/>
          <w:sz w:val="24"/>
          <w:lang w:eastAsia="en-US" w:bidi="en-US"/>
        </w:rPr>
        <w:t xml:space="preserve">Po zakończeniu projektu </w:t>
      </w:r>
      <w:r w:rsidR="003E020A" w:rsidRPr="000C583F">
        <w:rPr>
          <w:color w:val="000000"/>
          <w:sz w:val="24"/>
          <w:lang w:eastAsia="en-US" w:bidi="en-US"/>
        </w:rPr>
        <w:t>należy przeprowadzić b</w:t>
      </w:r>
      <w:r w:rsidRPr="000C583F">
        <w:rPr>
          <w:color w:val="000000"/>
          <w:sz w:val="24"/>
          <w:lang w:eastAsia="en-US" w:bidi="en-US"/>
        </w:rPr>
        <w:t xml:space="preserve">adanie ankietowe </w:t>
      </w:r>
      <w:r w:rsidR="003E020A" w:rsidRPr="000C583F">
        <w:rPr>
          <w:color w:val="000000"/>
          <w:sz w:val="24"/>
          <w:lang w:eastAsia="en-US" w:bidi="en-US"/>
        </w:rPr>
        <w:t>mierzące</w:t>
      </w:r>
      <w:r w:rsidRPr="000C583F">
        <w:rPr>
          <w:color w:val="000000"/>
          <w:sz w:val="24"/>
          <w:lang w:eastAsia="en-US" w:bidi="en-US"/>
        </w:rPr>
        <w:t xml:space="preserve"> poziom satysfakcji</w:t>
      </w:r>
      <w:r w:rsidR="003E020A" w:rsidRPr="000C583F">
        <w:rPr>
          <w:color w:val="000000"/>
          <w:sz w:val="24"/>
          <w:lang w:eastAsia="en-US" w:bidi="en-US"/>
        </w:rPr>
        <w:t xml:space="preserve"> </w:t>
      </w:r>
      <w:r w:rsidRPr="000C583F">
        <w:rPr>
          <w:color w:val="000000"/>
          <w:sz w:val="24"/>
          <w:lang w:eastAsia="en-US" w:bidi="en-US"/>
        </w:rPr>
        <w:t>uczestników.</w:t>
      </w:r>
    </w:p>
    <w:p w:rsidR="00CC4306" w:rsidRPr="00AA3FA7" w:rsidRDefault="009E29D2" w:rsidP="00AA3FA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AA3FA7">
        <w:rPr>
          <w:sz w:val="24"/>
        </w:rPr>
        <w:t>Przed nawiązaniem z członkami kadry stosunku pracy lub przed dopuszczeniem ich do działalności związanej z pracą z małoletnimi, oferent jest zobow</w:t>
      </w:r>
      <w:r w:rsidR="00CC4306" w:rsidRPr="00AA3FA7">
        <w:rPr>
          <w:sz w:val="24"/>
        </w:rPr>
        <w:t>iązany do uzyskania informacji, czy dane tej osoby są zamieszczone w Rejestrze z dostępem ograniczonym lub w Rejestrze osób, w</w:t>
      </w:r>
      <w:r w:rsidR="00E26B51" w:rsidRPr="00AA3FA7">
        <w:rPr>
          <w:sz w:val="24"/>
        </w:rPr>
        <w:t xml:space="preserve"> </w:t>
      </w:r>
      <w:r w:rsidR="00CC4306" w:rsidRPr="00AA3FA7">
        <w:rPr>
          <w:sz w:val="24"/>
        </w:rPr>
        <w:t>stosunku do których Państwowa Komisja do spraw przeciwdziałania wykorzystaniu</w:t>
      </w:r>
    </w:p>
    <w:p w:rsidR="009E29D2" w:rsidRDefault="00CC4306" w:rsidP="00E26B51">
      <w:pPr>
        <w:pStyle w:val="Akapitzlist"/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sz w:val="24"/>
          <w:lang w:bidi="pl-PL"/>
        </w:rPr>
      </w:pPr>
      <w:r w:rsidRPr="00CC4306">
        <w:rPr>
          <w:sz w:val="24"/>
        </w:rPr>
        <w:t xml:space="preserve">seksualnemu małoletnich poniżej lat 15 wydała postanowienie o wpisie w Rejestrze. </w:t>
      </w:r>
    </w:p>
    <w:p w:rsidR="00EC3002" w:rsidRDefault="00EC3002" w:rsidP="005B6041">
      <w:pPr>
        <w:spacing w:after="0" w:line="240" w:lineRule="auto"/>
        <w:jc w:val="both"/>
        <w:rPr>
          <w:b/>
          <w:sz w:val="24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265AA9">
        <w:rPr>
          <w:rStyle w:val="citation-line"/>
          <w:sz w:val="24"/>
        </w:rPr>
        <w:t>2023 r. poz. 1570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 xml:space="preserve">oświadcza, iż </w:t>
      </w:r>
      <w:r w:rsidRPr="00500093">
        <w:rPr>
          <w:sz w:val="24"/>
        </w:rPr>
        <w:lastRenderedPageBreak/>
        <w:t>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265AA9">
        <w:rPr>
          <w:rStyle w:val="citation-line"/>
          <w:sz w:val="24"/>
        </w:rPr>
        <w:t xml:space="preserve"> z 2023</w:t>
      </w:r>
      <w:r w:rsidR="00802646">
        <w:rPr>
          <w:rStyle w:val="citation-line"/>
          <w:sz w:val="24"/>
        </w:rPr>
        <w:t xml:space="preserve"> r. poz. </w:t>
      </w:r>
      <w:r w:rsidR="00627062">
        <w:rPr>
          <w:rStyle w:val="citation-line"/>
          <w:sz w:val="24"/>
        </w:rPr>
        <w:t>1</w:t>
      </w:r>
      <w:r w:rsidR="00265AA9">
        <w:rPr>
          <w:rStyle w:val="citation-line"/>
          <w:sz w:val="24"/>
        </w:rPr>
        <w:t>570</w:t>
      </w:r>
      <w:r w:rsidR="0087218E">
        <w:rPr>
          <w:rStyle w:val="citation-line"/>
          <w:sz w:val="24"/>
        </w:rPr>
        <w:t xml:space="preserve">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CB5895">
        <w:rPr>
          <w:color w:val="000000"/>
          <w:sz w:val="24"/>
          <w:lang w:eastAsia="en-US" w:bidi="en-US"/>
        </w:rPr>
        <w:t xml:space="preserve"> 111</w:t>
      </w:r>
      <w:r w:rsidR="00915DA7">
        <w:rPr>
          <w:color w:val="000000"/>
          <w:sz w:val="24"/>
          <w:lang w:eastAsia="en-US" w:bidi="en-US"/>
        </w:rPr>
        <w:t xml:space="preserve"> </w:t>
      </w:r>
      <w:r w:rsidR="00265AA9">
        <w:rPr>
          <w:color w:val="000000"/>
          <w:sz w:val="24"/>
          <w:lang w:eastAsia="en-US" w:bidi="en-US"/>
        </w:rPr>
        <w:t>/2024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915DA7">
        <w:rPr>
          <w:color w:val="000000"/>
          <w:sz w:val="24"/>
          <w:lang w:eastAsia="en-US" w:bidi="en-US"/>
        </w:rPr>
        <w:t xml:space="preserve">  </w:t>
      </w:r>
      <w:r w:rsidR="00CB5895">
        <w:rPr>
          <w:color w:val="000000"/>
          <w:sz w:val="24"/>
          <w:lang w:eastAsia="en-US" w:bidi="en-US"/>
        </w:rPr>
        <w:t>16</w:t>
      </w:r>
      <w:r w:rsidR="00915DA7">
        <w:rPr>
          <w:color w:val="000000"/>
          <w:sz w:val="24"/>
          <w:lang w:eastAsia="en-US" w:bidi="en-US"/>
        </w:rPr>
        <w:t xml:space="preserve">   lutego </w:t>
      </w:r>
      <w:r w:rsidR="00265AA9">
        <w:rPr>
          <w:color w:val="000000"/>
          <w:sz w:val="24"/>
          <w:lang w:eastAsia="en-US" w:bidi="en-US"/>
        </w:rPr>
        <w:t>2024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E54CDD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D32B6A">
        <w:rPr>
          <w:rFonts w:eastAsia="Lucida Sans Unicode"/>
          <w:color w:val="000000"/>
          <w:sz w:val="24"/>
          <w:lang w:eastAsia="en-US" w:bidi="en-US"/>
        </w:rPr>
        <w:t>zakresu rzeczowego zadania</w:t>
      </w:r>
      <w:r w:rsidR="00DE4792">
        <w:rPr>
          <w:rFonts w:eastAsia="Lucida Sans Unicode"/>
          <w:color w:val="000000"/>
          <w:sz w:val="24"/>
          <w:lang w:eastAsia="en-US" w:bidi="en-US"/>
        </w:rPr>
        <w:t xml:space="preserve"> do 30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punktów, </w:t>
      </w:r>
    </w:p>
    <w:p w:rsidR="006D02F9" w:rsidRPr="00DE4792" w:rsidRDefault="006D02F9" w:rsidP="00DE479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jakość wykonania </w:t>
      </w:r>
      <w:r w:rsidR="00915DA7">
        <w:rPr>
          <w:rFonts w:eastAsia="Lucida Sans Unicode"/>
          <w:color w:val="000000"/>
          <w:sz w:val="24"/>
          <w:lang w:eastAsia="en-US" w:bidi="en-US"/>
        </w:rPr>
        <w:t xml:space="preserve">zadania </w:t>
      </w:r>
      <w:r w:rsidR="00DE4792">
        <w:rPr>
          <w:rFonts w:eastAsia="Lucida Sans Unicode"/>
          <w:color w:val="000000"/>
          <w:sz w:val="24"/>
          <w:lang w:eastAsia="en-US" w:bidi="en-US"/>
        </w:rPr>
        <w:t xml:space="preserve">i </w:t>
      </w:r>
      <w:r w:rsidRPr="00DE4792">
        <w:rPr>
          <w:rFonts w:eastAsia="Lucida Sans Unicode"/>
          <w:color w:val="000000"/>
          <w:sz w:val="24"/>
          <w:lang w:eastAsia="en-US" w:bidi="en-US"/>
        </w:rPr>
        <w:t>kwalifikacje os</w:t>
      </w:r>
      <w:r w:rsidR="00D32B6A" w:rsidRPr="00DE4792">
        <w:rPr>
          <w:rFonts w:eastAsia="Lucida Sans Unicode"/>
          <w:color w:val="000000"/>
          <w:sz w:val="24"/>
          <w:lang w:eastAsia="en-US" w:bidi="en-US"/>
        </w:rPr>
        <w:t xml:space="preserve">ób realizujących zadanie do 30 </w:t>
      </w:r>
      <w:r w:rsidRPr="00DE4792">
        <w:rPr>
          <w:rFonts w:eastAsia="Lucida Sans Unicode"/>
          <w:color w:val="000000"/>
          <w:sz w:val="24"/>
          <w:lang w:eastAsia="en-US" w:bidi="en-US"/>
        </w:rPr>
        <w:t xml:space="preserve">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</w:t>
      </w:r>
      <w:r w:rsidR="00D32B6A"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</w:t>
      </w:r>
      <w:r w:rsidR="005F7D05">
        <w:rPr>
          <w:rFonts w:eastAsia="Lucida Sans Unicode"/>
          <w:color w:val="000000"/>
          <w:sz w:val="24"/>
          <w:lang w:eastAsia="en-US" w:bidi="en-US"/>
        </w:rPr>
        <w:t xml:space="preserve">/wydatkowania </w:t>
      </w:r>
      <w:r w:rsidR="001930B1">
        <w:rPr>
          <w:rFonts w:eastAsia="Lucida Sans Unicode"/>
          <w:color w:val="000000"/>
          <w:sz w:val="24"/>
          <w:lang w:eastAsia="en-US" w:bidi="en-US"/>
        </w:rPr>
        <w:t>otrzymanych środków do 10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punktów. 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Pr="004348BC">
        <w:rPr>
          <w:color w:val="000000"/>
          <w:sz w:val="24"/>
          <w:lang w:eastAsia="en-US" w:bidi="en-US"/>
        </w:rPr>
        <w:t>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lastRenderedPageBreak/>
        <w:t xml:space="preserve"> 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8124CE">
        <w:rPr>
          <w:b/>
          <w:bCs/>
          <w:color w:val="000000"/>
          <w:sz w:val="24"/>
          <w:lang w:eastAsia="en-US" w:bidi="en-US"/>
        </w:rPr>
        <w:t xml:space="preserve"> 8</w:t>
      </w:r>
      <w:r w:rsidR="00915DA7">
        <w:rPr>
          <w:b/>
          <w:bCs/>
          <w:color w:val="000000"/>
          <w:sz w:val="24"/>
          <w:lang w:eastAsia="en-US" w:bidi="en-US"/>
        </w:rPr>
        <w:t xml:space="preserve">  marca </w:t>
      </w:r>
      <w:r w:rsidR="00265AA9">
        <w:rPr>
          <w:b/>
          <w:bCs/>
          <w:color w:val="000000"/>
          <w:sz w:val="24"/>
          <w:lang w:eastAsia="en-US" w:bidi="en-US"/>
        </w:rPr>
        <w:t>2024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915DA7">
        <w:rPr>
          <w:color w:val="000000"/>
          <w:sz w:val="24"/>
          <w:lang w:eastAsia="en-US" w:bidi="en-US"/>
        </w:rPr>
        <w:t xml:space="preserve">   </w:t>
      </w:r>
      <w:r w:rsidR="00CB5895">
        <w:rPr>
          <w:color w:val="000000"/>
          <w:sz w:val="24"/>
          <w:lang w:eastAsia="en-US" w:bidi="en-US"/>
        </w:rPr>
        <w:t>111</w:t>
      </w:r>
      <w:bookmarkStart w:id="0" w:name="_GoBack"/>
      <w:bookmarkEnd w:id="0"/>
      <w:r w:rsidR="001F057F">
        <w:rPr>
          <w:color w:val="000000"/>
          <w:sz w:val="24"/>
          <w:lang w:eastAsia="en-US" w:bidi="en-US"/>
        </w:rPr>
        <w:t xml:space="preserve"> </w:t>
      </w:r>
      <w:r w:rsidR="00265AA9">
        <w:rPr>
          <w:color w:val="000000"/>
          <w:sz w:val="24"/>
          <w:lang w:eastAsia="en-US" w:bidi="en-US"/>
        </w:rPr>
        <w:t>/2024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915DA7">
        <w:rPr>
          <w:color w:val="000000"/>
          <w:sz w:val="24"/>
          <w:lang w:eastAsia="en-US" w:bidi="en-US"/>
        </w:rPr>
        <w:t xml:space="preserve">  </w:t>
      </w:r>
      <w:r w:rsidR="00CB5895">
        <w:rPr>
          <w:color w:val="000000"/>
          <w:sz w:val="24"/>
          <w:lang w:eastAsia="en-US" w:bidi="en-US"/>
        </w:rPr>
        <w:t>16</w:t>
      </w:r>
      <w:r w:rsidR="00915DA7">
        <w:rPr>
          <w:color w:val="000000"/>
          <w:sz w:val="24"/>
          <w:lang w:eastAsia="en-US" w:bidi="en-US"/>
        </w:rPr>
        <w:t xml:space="preserve"> </w:t>
      </w:r>
      <w:r w:rsidR="00CB5895">
        <w:rPr>
          <w:color w:val="000000"/>
          <w:sz w:val="24"/>
          <w:lang w:eastAsia="en-US" w:bidi="en-US"/>
        </w:rPr>
        <w:t xml:space="preserve"> </w:t>
      </w:r>
      <w:r w:rsidR="00915DA7">
        <w:rPr>
          <w:color w:val="000000"/>
          <w:sz w:val="24"/>
          <w:lang w:eastAsia="en-US" w:bidi="en-US"/>
        </w:rPr>
        <w:t xml:space="preserve"> lutego </w:t>
      </w:r>
      <w:r w:rsidR="00265AA9">
        <w:rPr>
          <w:color w:val="000000"/>
          <w:sz w:val="24"/>
          <w:lang w:eastAsia="en-US" w:bidi="en-US"/>
        </w:rPr>
        <w:t xml:space="preserve"> 2024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BC270A" w:rsidRPr="004348BC" w:rsidRDefault="00BC270A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lastRenderedPageBreak/>
        <w:t xml:space="preserve">Prezydent Miasta 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6D02F9" w:rsidRDefault="003B743F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</w:t>
      </w:r>
      <w:r w:rsidR="00C77CCB">
        <w:rPr>
          <w:color w:val="000000"/>
          <w:sz w:val="24"/>
          <w:lang w:eastAsia="en-US" w:bidi="en-US"/>
        </w:rPr>
        <w:t>i</w:t>
      </w:r>
      <w:r>
        <w:rPr>
          <w:color w:val="000000"/>
          <w:sz w:val="24"/>
          <w:lang w:eastAsia="en-US" w:bidi="en-US"/>
        </w:rPr>
        <w:t>e w ca</w:t>
      </w:r>
      <w:r w:rsidR="00C77CCB">
        <w:rPr>
          <w:color w:val="000000"/>
          <w:sz w:val="24"/>
          <w:lang w:eastAsia="en-US" w:bidi="en-US"/>
        </w:rPr>
        <w:t>ł</w:t>
      </w:r>
      <w:r>
        <w:rPr>
          <w:color w:val="000000"/>
          <w:sz w:val="24"/>
          <w:lang w:eastAsia="en-US" w:bidi="en-US"/>
        </w:rPr>
        <w:t>ości fi</w:t>
      </w:r>
      <w:r w:rsidR="00C77CCB">
        <w:rPr>
          <w:color w:val="000000"/>
          <w:sz w:val="24"/>
          <w:lang w:eastAsia="en-US" w:bidi="en-US"/>
        </w:rPr>
        <w:t>n</w:t>
      </w:r>
      <w:r>
        <w:rPr>
          <w:color w:val="000000"/>
          <w:sz w:val="24"/>
          <w:lang w:eastAsia="en-US" w:bidi="en-US"/>
        </w:rPr>
        <w:t>an</w:t>
      </w:r>
      <w:r w:rsidR="00C77CCB">
        <w:rPr>
          <w:color w:val="000000"/>
          <w:sz w:val="24"/>
          <w:lang w:eastAsia="en-US" w:bidi="en-US"/>
        </w:rPr>
        <w:t>sowane</w:t>
      </w:r>
      <w:r>
        <w:rPr>
          <w:color w:val="000000"/>
          <w:sz w:val="24"/>
          <w:lang w:eastAsia="en-US" w:bidi="en-US"/>
        </w:rPr>
        <w:t xml:space="preserve"> ze środków budżetu </w:t>
      </w:r>
      <w:r w:rsidR="00DE3466">
        <w:rPr>
          <w:color w:val="000000"/>
          <w:sz w:val="24"/>
          <w:lang w:eastAsia="en-US" w:bidi="en-US"/>
        </w:rPr>
        <w:t>M</w:t>
      </w:r>
      <w:r>
        <w:rPr>
          <w:color w:val="000000"/>
          <w:sz w:val="24"/>
          <w:lang w:eastAsia="en-US" w:bidi="en-US"/>
        </w:rPr>
        <w:t>iasta</w:t>
      </w:r>
      <w:r w:rsidR="00DE3466">
        <w:rPr>
          <w:color w:val="000000"/>
          <w:sz w:val="24"/>
          <w:lang w:eastAsia="en-US" w:bidi="en-US"/>
        </w:rPr>
        <w:t xml:space="preserve"> Świnoujście.</w:t>
      </w:r>
      <w:r w:rsidR="00E13FFE">
        <w:rPr>
          <w:color w:val="000000"/>
          <w:sz w:val="24"/>
          <w:lang w:eastAsia="en-US" w:bidi="en-US"/>
        </w:rPr>
        <w:t xml:space="preserve"> 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C15D0" w:rsidRPr="00C81BAE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hyperlink r:id="rId8" w:history="1">
        <w:r w:rsidR="00C81BAE" w:rsidRPr="005A4FF3">
          <w:rPr>
            <w:rStyle w:val="Hipercze"/>
            <w:rFonts w:eastAsiaTheme="minorHAnsi"/>
            <w:lang w:val="pl-PL"/>
          </w:rPr>
          <w:t>www.bip.um.swinoujscie.pl</w:t>
        </w:r>
      </w:hyperlink>
      <w:r w:rsidRPr="000263BA">
        <w:rPr>
          <w:rFonts w:eastAsiaTheme="minorHAnsi"/>
          <w:color w:val="auto"/>
          <w:lang w:val="pl-PL"/>
        </w:rPr>
        <w:t xml:space="preserve">). </w:t>
      </w:r>
    </w:p>
    <w:p w:rsidR="00C81BAE" w:rsidRPr="000263BA" w:rsidRDefault="00C81BAE" w:rsidP="00C81BA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0263BA">
        <w:rPr>
          <w:sz w:val="24"/>
        </w:rPr>
        <w:t>Aktualny odpis z odpowiedniego rejestru lub inne dokumenty informujące o statusie prawnym podmiotu składającego ofertę i umocowanie osób go reprezentujących.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4C0529">
        <w:rPr>
          <w:lang w:val="pl-PL" w:eastAsia="ar-SA"/>
        </w:rPr>
        <w:t>(Dz. U. z 2022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4C0529">
        <w:rPr>
          <w:lang w:val="pl-PL" w:eastAsia="ar-SA"/>
        </w:rPr>
        <w:t xml:space="preserve"> 1608 ze 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A0463"/>
    <w:multiLevelType w:val="hybridMultilevel"/>
    <w:tmpl w:val="E6389CF0"/>
    <w:lvl w:ilvl="0" w:tplc="355A391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4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7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37"/>
  </w:num>
  <w:num w:numId="5">
    <w:abstractNumId w:val="35"/>
  </w:num>
  <w:num w:numId="6">
    <w:abstractNumId w:val="10"/>
  </w:num>
  <w:num w:numId="7">
    <w:abstractNumId w:val="16"/>
  </w:num>
  <w:num w:numId="8">
    <w:abstractNumId w:val="33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32"/>
  </w:num>
  <w:num w:numId="18">
    <w:abstractNumId w:val="36"/>
  </w:num>
  <w:num w:numId="19">
    <w:abstractNumId w:val="27"/>
  </w:num>
  <w:num w:numId="20">
    <w:abstractNumId w:val="13"/>
  </w:num>
  <w:num w:numId="21">
    <w:abstractNumId w:val="26"/>
  </w:num>
  <w:num w:numId="22">
    <w:abstractNumId w:val="18"/>
  </w:num>
  <w:num w:numId="23">
    <w:abstractNumId w:val="29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  <w:num w:numId="28">
    <w:abstractNumId w:val="2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4"/>
  </w:num>
  <w:num w:numId="32">
    <w:abstractNumId w:val="3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110AF"/>
    <w:rsid w:val="000143E1"/>
    <w:rsid w:val="00017313"/>
    <w:rsid w:val="000234FA"/>
    <w:rsid w:val="000263BA"/>
    <w:rsid w:val="00034F76"/>
    <w:rsid w:val="00050DFF"/>
    <w:rsid w:val="00056EAD"/>
    <w:rsid w:val="00061959"/>
    <w:rsid w:val="00063D6D"/>
    <w:rsid w:val="00064633"/>
    <w:rsid w:val="000651C2"/>
    <w:rsid w:val="00075F1A"/>
    <w:rsid w:val="00080E38"/>
    <w:rsid w:val="0008629C"/>
    <w:rsid w:val="000B7CC3"/>
    <w:rsid w:val="000C2F36"/>
    <w:rsid w:val="000C3DB5"/>
    <w:rsid w:val="000C4EBB"/>
    <w:rsid w:val="000C50D5"/>
    <w:rsid w:val="000C583F"/>
    <w:rsid w:val="000D0B27"/>
    <w:rsid w:val="000D28CA"/>
    <w:rsid w:val="000D2A56"/>
    <w:rsid w:val="000F0B09"/>
    <w:rsid w:val="001018B9"/>
    <w:rsid w:val="00102197"/>
    <w:rsid w:val="0011010A"/>
    <w:rsid w:val="00110A5F"/>
    <w:rsid w:val="001176E7"/>
    <w:rsid w:val="00122D06"/>
    <w:rsid w:val="00134690"/>
    <w:rsid w:val="001348E6"/>
    <w:rsid w:val="00136310"/>
    <w:rsid w:val="00140021"/>
    <w:rsid w:val="00142503"/>
    <w:rsid w:val="00145C76"/>
    <w:rsid w:val="00145D58"/>
    <w:rsid w:val="00172F89"/>
    <w:rsid w:val="00173BA2"/>
    <w:rsid w:val="001779A5"/>
    <w:rsid w:val="001826CB"/>
    <w:rsid w:val="00184E5E"/>
    <w:rsid w:val="00186C10"/>
    <w:rsid w:val="00193010"/>
    <w:rsid w:val="001930B1"/>
    <w:rsid w:val="001A051D"/>
    <w:rsid w:val="001A516E"/>
    <w:rsid w:val="001A63AC"/>
    <w:rsid w:val="001A6634"/>
    <w:rsid w:val="001A7C4B"/>
    <w:rsid w:val="001C3B83"/>
    <w:rsid w:val="001D5EE2"/>
    <w:rsid w:val="001D6113"/>
    <w:rsid w:val="001D6902"/>
    <w:rsid w:val="001E7818"/>
    <w:rsid w:val="001F057F"/>
    <w:rsid w:val="001F4810"/>
    <w:rsid w:val="001F488A"/>
    <w:rsid w:val="00200C73"/>
    <w:rsid w:val="0020162E"/>
    <w:rsid w:val="00216DCF"/>
    <w:rsid w:val="00225EC4"/>
    <w:rsid w:val="002368EB"/>
    <w:rsid w:val="00236C42"/>
    <w:rsid w:val="00236D12"/>
    <w:rsid w:val="00243F32"/>
    <w:rsid w:val="00246F03"/>
    <w:rsid w:val="002478B1"/>
    <w:rsid w:val="002479BA"/>
    <w:rsid w:val="00251E43"/>
    <w:rsid w:val="002574FE"/>
    <w:rsid w:val="002647E9"/>
    <w:rsid w:val="002652F8"/>
    <w:rsid w:val="00265AA9"/>
    <w:rsid w:val="00280102"/>
    <w:rsid w:val="002849F1"/>
    <w:rsid w:val="00285A3C"/>
    <w:rsid w:val="00290193"/>
    <w:rsid w:val="002A109F"/>
    <w:rsid w:val="002A469C"/>
    <w:rsid w:val="002B15F6"/>
    <w:rsid w:val="002B3C3E"/>
    <w:rsid w:val="002B63DC"/>
    <w:rsid w:val="002B6723"/>
    <w:rsid w:val="002C0109"/>
    <w:rsid w:val="002C15D0"/>
    <w:rsid w:val="002C45A2"/>
    <w:rsid w:val="002D10CE"/>
    <w:rsid w:val="002E4E90"/>
    <w:rsid w:val="002E6D73"/>
    <w:rsid w:val="002E778B"/>
    <w:rsid w:val="002F632C"/>
    <w:rsid w:val="003056C5"/>
    <w:rsid w:val="00312C54"/>
    <w:rsid w:val="003207FA"/>
    <w:rsid w:val="00325653"/>
    <w:rsid w:val="00325838"/>
    <w:rsid w:val="003270BE"/>
    <w:rsid w:val="00337D00"/>
    <w:rsid w:val="00340899"/>
    <w:rsid w:val="00361621"/>
    <w:rsid w:val="00376FB4"/>
    <w:rsid w:val="0037766B"/>
    <w:rsid w:val="0038262B"/>
    <w:rsid w:val="003840C8"/>
    <w:rsid w:val="00385B00"/>
    <w:rsid w:val="003873A5"/>
    <w:rsid w:val="0039020E"/>
    <w:rsid w:val="003935C8"/>
    <w:rsid w:val="003A10FB"/>
    <w:rsid w:val="003A457F"/>
    <w:rsid w:val="003B23A7"/>
    <w:rsid w:val="003B71CF"/>
    <w:rsid w:val="003B743F"/>
    <w:rsid w:val="003C7243"/>
    <w:rsid w:val="003D0AB3"/>
    <w:rsid w:val="003D1BDC"/>
    <w:rsid w:val="003D64D0"/>
    <w:rsid w:val="003E020A"/>
    <w:rsid w:val="003E0CEB"/>
    <w:rsid w:val="003E1AC1"/>
    <w:rsid w:val="003E2DD1"/>
    <w:rsid w:val="003E3EDC"/>
    <w:rsid w:val="003E40D1"/>
    <w:rsid w:val="003E6ABC"/>
    <w:rsid w:val="003F27C5"/>
    <w:rsid w:val="003F5587"/>
    <w:rsid w:val="00402DF3"/>
    <w:rsid w:val="004102D4"/>
    <w:rsid w:val="00413552"/>
    <w:rsid w:val="0041690B"/>
    <w:rsid w:val="004220D8"/>
    <w:rsid w:val="00422788"/>
    <w:rsid w:val="00423B65"/>
    <w:rsid w:val="00432ED2"/>
    <w:rsid w:val="004344D9"/>
    <w:rsid w:val="004346B5"/>
    <w:rsid w:val="004348BC"/>
    <w:rsid w:val="00435019"/>
    <w:rsid w:val="00436252"/>
    <w:rsid w:val="0044351F"/>
    <w:rsid w:val="00445525"/>
    <w:rsid w:val="00446ADD"/>
    <w:rsid w:val="00455F03"/>
    <w:rsid w:val="004565D6"/>
    <w:rsid w:val="00457C16"/>
    <w:rsid w:val="00460A7D"/>
    <w:rsid w:val="00464815"/>
    <w:rsid w:val="004659BB"/>
    <w:rsid w:val="00473981"/>
    <w:rsid w:val="004873D8"/>
    <w:rsid w:val="004A23F7"/>
    <w:rsid w:val="004A69D5"/>
    <w:rsid w:val="004B39F7"/>
    <w:rsid w:val="004B47A0"/>
    <w:rsid w:val="004B57AE"/>
    <w:rsid w:val="004C0529"/>
    <w:rsid w:val="004C0B2F"/>
    <w:rsid w:val="004C5F13"/>
    <w:rsid w:val="004C6E0A"/>
    <w:rsid w:val="004C7E08"/>
    <w:rsid w:val="004D1F51"/>
    <w:rsid w:val="004D2FA1"/>
    <w:rsid w:val="004D46D3"/>
    <w:rsid w:val="004E4030"/>
    <w:rsid w:val="004E436F"/>
    <w:rsid w:val="004E4D85"/>
    <w:rsid w:val="004F3E02"/>
    <w:rsid w:val="004F5B8E"/>
    <w:rsid w:val="00500093"/>
    <w:rsid w:val="0050385F"/>
    <w:rsid w:val="00520703"/>
    <w:rsid w:val="00530036"/>
    <w:rsid w:val="0053257B"/>
    <w:rsid w:val="00532970"/>
    <w:rsid w:val="00540592"/>
    <w:rsid w:val="00545E73"/>
    <w:rsid w:val="00547D24"/>
    <w:rsid w:val="0055076F"/>
    <w:rsid w:val="00552C3A"/>
    <w:rsid w:val="00553575"/>
    <w:rsid w:val="005608C2"/>
    <w:rsid w:val="00562076"/>
    <w:rsid w:val="00567CF0"/>
    <w:rsid w:val="00575723"/>
    <w:rsid w:val="00577EA3"/>
    <w:rsid w:val="00580DA7"/>
    <w:rsid w:val="00582555"/>
    <w:rsid w:val="005839CA"/>
    <w:rsid w:val="0058602F"/>
    <w:rsid w:val="005913FF"/>
    <w:rsid w:val="00592D98"/>
    <w:rsid w:val="005A02F8"/>
    <w:rsid w:val="005A3C3B"/>
    <w:rsid w:val="005B3BE7"/>
    <w:rsid w:val="005B4240"/>
    <w:rsid w:val="005B6041"/>
    <w:rsid w:val="005C406F"/>
    <w:rsid w:val="005C44AF"/>
    <w:rsid w:val="005C5B90"/>
    <w:rsid w:val="005C6C0C"/>
    <w:rsid w:val="005E7D93"/>
    <w:rsid w:val="005F1093"/>
    <w:rsid w:val="005F135D"/>
    <w:rsid w:val="005F18E4"/>
    <w:rsid w:val="005F7D05"/>
    <w:rsid w:val="006008D2"/>
    <w:rsid w:val="00603131"/>
    <w:rsid w:val="006034CD"/>
    <w:rsid w:val="00605168"/>
    <w:rsid w:val="00606182"/>
    <w:rsid w:val="00627062"/>
    <w:rsid w:val="0062747A"/>
    <w:rsid w:val="0063306D"/>
    <w:rsid w:val="00636B98"/>
    <w:rsid w:val="0063792D"/>
    <w:rsid w:val="00642BFC"/>
    <w:rsid w:val="00645416"/>
    <w:rsid w:val="00654F89"/>
    <w:rsid w:val="006624B3"/>
    <w:rsid w:val="00673A4D"/>
    <w:rsid w:val="00686DB1"/>
    <w:rsid w:val="0069128A"/>
    <w:rsid w:val="00694451"/>
    <w:rsid w:val="00697E39"/>
    <w:rsid w:val="006A29E8"/>
    <w:rsid w:val="006A2C60"/>
    <w:rsid w:val="006A5510"/>
    <w:rsid w:val="006A7232"/>
    <w:rsid w:val="006B72F6"/>
    <w:rsid w:val="006D02F9"/>
    <w:rsid w:val="006D0ECC"/>
    <w:rsid w:val="006D1D06"/>
    <w:rsid w:val="006E096A"/>
    <w:rsid w:val="006E0D97"/>
    <w:rsid w:val="006E7616"/>
    <w:rsid w:val="006F2908"/>
    <w:rsid w:val="006F3817"/>
    <w:rsid w:val="006F390D"/>
    <w:rsid w:val="006F3990"/>
    <w:rsid w:val="006F48F0"/>
    <w:rsid w:val="006F4CA8"/>
    <w:rsid w:val="00702625"/>
    <w:rsid w:val="00710F7E"/>
    <w:rsid w:val="007162C5"/>
    <w:rsid w:val="00725E4E"/>
    <w:rsid w:val="00730433"/>
    <w:rsid w:val="007422CA"/>
    <w:rsid w:val="00744DBA"/>
    <w:rsid w:val="00747958"/>
    <w:rsid w:val="00750ABD"/>
    <w:rsid w:val="0075791F"/>
    <w:rsid w:val="0076054F"/>
    <w:rsid w:val="0076117D"/>
    <w:rsid w:val="007643C1"/>
    <w:rsid w:val="00765CA1"/>
    <w:rsid w:val="00775A76"/>
    <w:rsid w:val="00776637"/>
    <w:rsid w:val="0077745E"/>
    <w:rsid w:val="0078109E"/>
    <w:rsid w:val="00784303"/>
    <w:rsid w:val="0079408B"/>
    <w:rsid w:val="0079422C"/>
    <w:rsid w:val="00796AE1"/>
    <w:rsid w:val="007A5103"/>
    <w:rsid w:val="007A5A0B"/>
    <w:rsid w:val="007A7DC0"/>
    <w:rsid w:val="007B2899"/>
    <w:rsid w:val="007B3A82"/>
    <w:rsid w:val="007B73DA"/>
    <w:rsid w:val="007B7C91"/>
    <w:rsid w:val="007C1AE9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24CE"/>
    <w:rsid w:val="0081359F"/>
    <w:rsid w:val="00815E6F"/>
    <w:rsid w:val="00825B66"/>
    <w:rsid w:val="00830E5C"/>
    <w:rsid w:val="00837E62"/>
    <w:rsid w:val="00842F65"/>
    <w:rsid w:val="00845BA4"/>
    <w:rsid w:val="00846FA3"/>
    <w:rsid w:val="008473E0"/>
    <w:rsid w:val="00862938"/>
    <w:rsid w:val="00866AE9"/>
    <w:rsid w:val="00867223"/>
    <w:rsid w:val="0087218E"/>
    <w:rsid w:val="00881459"/>
    <w:rsid w:val="0088602D"/>
    <w:rsid w:val="008932DE"/>
    <w:rsid w:val="00896C2D"/>
    <w:rsid w:val="00897119"/>
    <w:rsid w:val="008A58F7"/>
    <w:rsid w:val="008D245F"/>
    <w:rsid w:val="008E0A30"/>
    <w:rsid w:val="008E3D8C"/>
    <w:rsid w:val="008F3167"/>
    <w:rsid w:val="008F5BE9"/>
    <w:rsid w:val="009032CD"/>
    <w:rsid w:val="00903D99"/>
    <w:rsid w:val="0091205B"/>
    <w:rsid w:val="00914BBE"/>
    <w:rsid w:val="00915CF4"/>
    <w:rsid w:val="00915DA7"/>
    <w:rsid w:val="00921288"/>
    <w:rsid w:val="00921F55"/>
    <w:rsid w:val="009266C0"/>
    <w:rsid w:val="0093364F"/>
    <w:rsid w:val="00933975"/>
    <w:rsid w:val="009360EA"/>
    <w:rsid w:val="009518EC"/>
    <w:rsid w:val="00952295"/>
    <w:rsid w:val="00952D08"/>
    <w:rsid w:val="009538C4"/>
    <w:rsid w:val="00964784"/>
    <w:rsid w:val="0097521B"/>
    <w:rsid w:val="00983EA2"/>
    <w:rsid w:val="00987624"/>
    <w:rsid w:val="00987F08"/>
    <w:rsid w:val="00995760"/>
    <w:rsid w:val="009A0F12"/>
    <w:rsid w:val="009A3825"/>
    <w:rsid w:val="009A52B9"/>
    <w:rsid w:val="009A5601"/>
    <w:rsid w:val="009A7A44"/>
    <w:rsid w:val="009B221B"/>
    <w:rsid w:val="009B2D71"/>
    <w:rsid w:val="009B584E"/>
    <w:rsid w:val="009B614B"/>
    <w:rsid w:val="009C38EE"/>
    <w:rsid w:val="009E29D2"/>
    <w:rsid w:val="009E3829"/>
    <w:rsid w:val="009E4363"/>
    <w:rsid w:val="009E70AA"/>
    <w:rsid w:val="009F4D88"/>
    <w:rsid w:val="00A002F0"/>
    <w:rsid w:val="00A04A30"/>
    <w:rsid w:val="00A10D4D"/>
    <w:rsid w:val="00A1606D"/>
    <w:rsid w:val="00A32DB2"/>
    <w:rsid w:val="00A42BFD"/>
    <w:rsid w:val="00A43447"/>
    <w:rsid w:val="00A465F1"/>
    <w:rsid w:val="00A52F7D"/>
    <w:rsid w:val="00A61E4C"/>
    <w:rsid w:val="00A61FC3"/>
    <w:rsid w:val="00A620D0"/>
    <w:rsid w:val="00A67FD6"/>
    <w:rsid w:val="00A74952"/>
    <w:rsid w:val="00A7751E"/>
    <w:rsid w:val="00A777C8"/>
    <w:rsid w:val="00A828E7"/>
    <w:rsid w:val="00A852EA"/>
    <w:rsid w:val="00A85E83"/>
    <w:rsid w:val="00A87827"/>
    <w:rsid w:val="00AA1D77"/>
    <w:rsid w:val="00AA3FA7"/>
    <w:rsid w:val="00AA4931"/>
    <w:rsid w:val="00AB01F8"/>
    <w:rsid w:val="00AC0AF0"/>
    <w:rsid w:val="00AC11EF"/>
    <w:rsid w:val="00AC2C70"/>
    <w:rsid w:val="00AD024A"/>
    <w:rsid w:val="00AD11F4"/>
    <w:rsid w:val="00AD1DCA"/>
    <w:rsid w:val="00AD5E55"/>
    <w:rsid w:val="00AD628E"/>
    <w:rsid w:val="00AE430D"/>
    <w:rsid w:val="00AE631C"/>
    <w:rsid w:val="00AF3BB8"/>
    <w:rsid w:val="00B013F1"/>
    <w:rsid w:val="00B17D2D"/>
    <w:rsid w:val="00B206C3"/>
    <w:rsid w:val="00B26EEC"/>
    <w:rsid w:val="00B27B58"/>
    <w:rsid w:val="00B30604"/>
    <w:rsid w:val="00B366AC"/>
    <w:rsid w:val="00B36701"/>
    <w:rsid w:val="00B37CA6"/>
    <w:rsid w:val="00B61571"/>
    <w:rsid w:val="00B65DC1"/>
    <w:rsid w:val="00B675B2"/>
    <w:rsid w:val="00B70E00"/>
    <w:rsid w:val="00B71B7F"/>
    <w:rsid w:val="00B75F5F"/>
    <w:rsid w:val="00B8488A"/>
    <w:rsid w:val="00B85E7F"/>
    <w:rsid w:val="00B863F1"/>
    <w:rsid w:val="00B86ECC"/>
    <w:rsid w:val="00B90DF1"/>
    <w:rsid w:val="00B93E5B"/>
    <w:rsid w:val="00B94ADF"/>
    <w:rsid w:val="00BA006E"/>
    <w:rsid w:val="00BA489C"/>
    <w:rsid w:val="00BA5F2E"/>
    <w:rsid w:val="00BB5795"/>
    <w:rsid w:val="00BB617D"/>
    <w:rsid w:val="00BB6E3B"/>
    <w:rsid w:val="00BB79F9"/>
    <w:rsid w:val="00BC270A"/>
    <w:rsid w:val="00BC3B0D"/>
    <w:rsid w:val="00BC5B46"/>
    <w:rsid w:val="00BC640D"/>
    <w:rsid w:val="00BD0B74"/>
    <w:rsid w:val="00BD5BAD"/>
    <w:rsid w:val="00BE57C0"/>
    <w:rsid w:val="00BE5F48"/>
    <w:rsid w:val="00BF3913"/>
    <w:rsid w:val="00BF617A"/>
    <w:rsid w:val="00BF64CD"/>
    <w:rsid w:val="00BF6DD2"/>
    <w:rsid w:val="00C00CEA"/>
    <w:rsid w:val="00C03DC5"/>
    <w:rsid w:val="00C107C9"/>
    <w:rsid w:val="00C12E19"/>
    <w:rsid w:val="00C14883"/>
    <w:rsid w:val="00C233B0"/>
    <w:rsid w:val="00C26EDE"/>
    <w:rsid w:val="00C27D87"/>
    <w:rsid w:val="00C32E7A"/>
    <w:rsid w:val="00C407EA"/>
    <w:rsid w:val="00C47534"/>
    <w:rsid w:val="00C50E86"/>
    <w:rsid w:val="00C51A8A"/>
    <w:rsid w:val="00C538C5"/>
    <w:rsid w:val="00C63AD1"/>
    <w:rsid w:val="00C76575"/>
    <w:rsid w:val="00C76BE8"/>
    <w:rsid w:val="00C77CCB"/>
    <w:rsid w:val="00C818B8"/>
    <w:rsid w:val="00C81BAE"/>
    <w:rsid w:val="00C84B4A"/>
    <w:rsid w:val="00C85DC2"/>
    <w:rsid w:val="00C91C4E"/>
    <w:rsid w:val="00C9230C"/>
    <w:rsid w:val="00C93418"/>
    <w:rsid w:val="00C94909"/>
    <w:rsid w:val="00C96450"/>
    <w:rsid w:val="00C97CA6"/>
    <w:rsid w:val="00CA0D42"/>
    <w:rsid w:val="00CA6B0A"/>
    <w:rsid w:val="00CB17E3"/>
    <w:rsid w:val="00CB24FC"/>
    <w:rsid w:val="00CB3238"/>
    <w:rsid w:val="00CB3536"/>
    <w:rsid w:val="00CB5895"/>
    <w:rsid w:val="00CB624A"/>
    <w:rsid w:val="00CC4306"/>
    <w:rsid w:val="00CD0D35"/>
    <w:rsid w:val="00CD16A8"/>
    <w:rsid w:val="00CD23F6"/>
    <w:rsid w:val="00CD4D6B"/>
    <w:rsid w:val="00CD69DB"/>
    <w:rsid w:val="00CD713F"/>
    <w:rsid w:val="00CD71D5"/>
    <w:rsid w:val="00CE424B"/>
    <w:rsid w:val="00CE664B"/>
    <w:rsid w:val="00CF3C3B"/>
    <w:rsid w:val="00CF4717"/>
    <w:rsid w:val="00CF59BD"/>
    <w:rsid w:val="00CF5B7A"/>
    <w:rsid w:val="00D01419"/>
    <w:rsid w:val="00D12219"/>
    <w:rsid w:val="00D16FBB"/>
    <w:rsid w:val="00D1794E"/>
    <w:rsid w:val="00D218B1"/>
    <w:rsid w:val="00D230AA"/>
    <w:rsid w:val="00D32B6A"/>
    <w:rsid w:val="00D4096B"/>
    <w:rsid w:val="00D423E2"/>
    <w:rsid w:val="00D45398"/>
    <w:rsid w:val="00D4558D"/>
    <w:rsid w:val="00D46609"/>
    <w:rsid w:val="00D50145"/>
    <w:rsid w:val="00D52D58"/>
    <w:rsid w:val="00D62BF7"/>
    <w:rsid w:val="00D74330"/>
    <w:rsid w:val="00D870E3"/>
    <w:rsid w:val="00D9602A"/>
    <w:rsid w:val="00DA7A3B"/>
    <w:rsid w:val="00DB6D3C"/>
    <w:rsid w:val="00DC2AD8"/>
    <w:rsid w:val="00DC3AE9"/>
    <w:rsid w:val="00DC5CB5"/>
    <w:rsid w:val="00DD2C7E"/>
    <w:rsid w:val="00DD57FE"/>
    <w:rsid w:val="00DE3466"/>
    <w:rsid w:val="00DE4792"/>
    <w:rsid w:val="00DE5285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2917"/>
    <w:rsid w:val="00E25919"/>
    <w:rsid w:val="00E26B51"/>
    <w:rsid w:val="00E332DE"/>
    <w:rsid w:val="00E34E6C"/>
    <w:rsid w:val="00E53ED3"/>
    <w:rsid w:val="00E545FC"/>
    <w:rsid w:val="00E54CDD"/>
    <w:rsid w:val="00E631CB"/>
    <w:rsid w:val="00E63C16"/>
    <w:rsid w:val="00E63D29"/>
    <w:rsid w:val="00E67C7A"/>
    <w:rsid w:val="00E72C4C"/>
    <w:rsid w:val="00E7517B"/>
    <w:rsid w:val="00E82E30"/>
    <w:rsid w:val="00E86C47"/>
    <w:rsid w:val="00E939AF"/>
    <w:rsid w:val="00E97394"/>
    <w:rsid w:val="00EA1CF9"/>
    <w:rsid w:val="00EA65EB"/>
    <w:rsid w:val="00EB3248"/>
    <w:rsid w:val="00EB5983"/>
    <w:rsid w:val="00EB7874"/>
    <w:rsid w:val="00EC3002"/>
    <w:rsid w:val="00EC3157"/>
    <w:rsid w:val="00ED4010"/>
    <w:rsid w:val="00ED6B8A"/>
    <w:rsid w:val="00EE3F77"/>
    <w:rsid w:val="00EE5534"/>
    <w:rsid w:val="00EF0DF5"/>
    <w:rsid w:val="00EF1A6D"/>
    <w:rsid w:val="00EF7C05"/>
    <w:rsid w:val="00F00D59"/>
    <w:rsid w:val="00F037CB"/>
    <w:rsid w:val="00F03A50"/>
    <w:rsid w:val="00F11B14"/>
    <w:rsid w:val="00F20CC0"/>
    <w:rsid w:val="00F2505E"/>
    <w:rsid w:val="00F26185"/>
    <w:rsid w:val="00F41B2C"/>
    <w:rsid w:val="00F55123"/>
    <w:rsid w:val="00F556CC"/>
    <w:rsid w:val="00F56533"/>
    <w:rsid w:val="00F56A81"/>
    <w:rsid w:val="00F66EB4"/>
    <w:rsid w:val="00F74367"/>
    <w:rsid w:val="00F810B7"/>
    <w:rsid w:val="00F87649"/>
    <w:rsid w:val="00F9159C"/>
    <w:rsid w:val="00F95C04"/>
    <w:rsid w:val="00FA468C"/>
    <w:rsid w:val="00FA487B"/>
    <w:rsid w:val="00FA631B"/>
    <w:rsid w:val="00FB3E2D"/>
    <w:rsid w:val="00FB4998"/>
    <w:rsid w:val="00FB7904"/>
    <w:rsid w:val="00FC0D11"/>
    <w:rsid w:val="00FC1BEE"/>
    <w:rsid w:val="00FC5D0A"/>
    <w:rsid w:val="00FD54A8"/>
    <w:rsid w:val="00FE0CD1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8779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customStyle="1" w:styleId="Default">
    <w:name w:val="Default"/>
    <w:basedOn w:val="Normalny"/>
    <w:rsid w:val="00F2618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9E77-316D-4AFB-8B60-4BF61253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6</Pages>
  <Words>2845</Words>
  <Characters>17073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372</cp:revision>
  <cp:lastPrinted>2024-02-13T08:12:00Z</cp:lastPrinted>
  <dcterms:created xsi:type="dcterms:W3CDTF">2016-10-11T06:58:00Z</dcterms:created>
  <dcterms:modified xsi:type="dcterms:W3CDTF">2024-02-16T11:14:00Z</dcterms:modified>
</cp:coreProperties>
</file>