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A3" w:rsidRPr="005E6B00" w:rsidRDefault="00AB2FA3" w:rsidP="005E6B00">
      <w:pPr>
        <w:jc w:val="center"/>
        <w:rPr>
          <w:b/>
        </w:rPr>
      </w:pPr>
      <w:r w:rsidRPr="005E6B00">
        <w:rPr>
          <w:b/>
        </w:rPr>
        <w:t>INFORMACJA O ZAMIARZE PRZEPROWADZENIA  WSTĘPNYCH KONSULTACJI RYNKOWYCH</w:t>
      </w:r>
    </w:p>
    <w:p w:rsidR="00AB2FA3" w:rsidRPr="005E6B00" w:rsidRDefault="00AB2FA3" w:rsidP="005E6B00">
      <w:pPr>
        <w:jc w:val="both"/>
        <w:rPr>
          <w:b/>
        </w:rPr>
      </w:pPr>
      <w:r w:rsidRPr="005E6B00">
        <w:rPr>
          <w:b/>
        </w:rPr>
        <w:t xml:space="preserve">I. ZAMAWIAJĄCY </w:t>
      </w:r>
    </w:p>
    <w:p w:rsidR="00AB2FA3" w:rsidRDefault="00AB2FA3" w:rsidP="005E6B00">
      <w:pPr>
        <w:jc w:val="both"/>
      </w:pPr>
      <w:r>
        <w:t xml:space="preserve">Urząd Gminy-Miasto Świnoujście z siedzibą przy ul. Wojska Polskiego 1/5 w Świnoujściu </w:t>
      </w:r>
    </w:p>
    <w:p w:rsidR="00AB2FA3" w:rsidRPr="005E6B00" w:rsidRDefault="00AB2FA3" w:rsidP="005E6B00">
      <w:pPr>
        <w:jc w:val="both"/>
        <w:rPr>
          <w:b/>
        </w:rPr>
      </w:pPr>
      <w:r w:rsidRPr="005E6B00">
        <w:rPr>
          <w:b/>
        </w:rPr>
        <w:t xml:space="preserve">II. DANE KONTAKTOWE ZAMAWIAJĄCEGO  </w:t>
      </w:r>
    </w:p>
    <w:p w:rsidR="00AB2FA3" w:rsidRDefault="00AB2FA3" w:rsidP="005E6B00">
      <w:pPr>
        <w:jc w:val="both"/>
      </w:pPr>
      <w:r>
        <w:t>Urząd Gminy-Miasto Świnoujście</w:t>
      </w:r>
      <w:r w:rsidR="005E6B00">
        <w:t xml:space="preserve">, </w:t>
      </w:r>
      <w:r>
        <w:t xml:space="preserve">ul. Wojska Polskiego 1/5 w Świnoujściu </w:t>
      </w:r>
    </w:p>
    <w:p w:rsidR="00AB2FA3" w:rsidRDefault="00AB2FA3" w:rsidP="005E6B00">
      <w:pPr>
        <w:jc w:val="both"/>
      </w:pPr>
      <w:r>
        <w:t>Biuro technologii Informacyjnych</w:t>
      </w:r>
      <w:r w:rsidR="005E6B00">
        <w:t>, o</w:t>
      </w:r>
      <w:r>
        <w:t xml:space="preserve">soba wyznaczona do kontaktu:  </w:t>
      </w:r>
    </w:p>
    <w:p w:rsidR="0098153D" w:rsidRDefault="00AB2FA3" w:rsidP="005E6B00">
      <w:pPr>
        <w:jc w:val="both"/>
      </w:pPr>
      <w:r>
        <w:t>Wiktor Szymanowski tel. 691 441 186 e-mail:</w:t>
      </w:r>
      <w:r w:rsidR="0098153D">
        <w:t xml:space="preserve"> </w:t>
      </w:r>
      <w:hyperlink r:id="rId5" w:history="1">
        <w:r w:rsidR="0098153D" w:rsidRPr="00536EC4">
          <w:rPr>
            <w:rStyle w:val="Hipercze"/>
          </w:rPr>
          <w:t>wszymanowski@um.swinoujscie.pl</w:t>
        </w:r>
      </w:hyperlink>
    </w:p>
    <w:p w:rsidR="00AB2FA3" w:rsidRDefault="00AB2FA3" w:rsidP="005E6B00">
      <w:pPr>
        <w:jc w:val="both"/>
      </w:pPr>
      <w:r>
        <w:t xml:space="preserve">Wszelką korespondencję kierowaną do Zamawiającego należy tytułować (email) lub opatrzyć </w:t>
      </w:r>
      <w:r w:rsidRPr="009030DD">
        <w:t>dopiskiem (listowną):  Konsultacje rynkowe dot. „</w:t>
      </w:r>
      <w:r w:rsidR="009030DD">
        <w:rPr>
          <w:b/>
        </w:rPr>
        <w:t>Wsparcie informatyczne</w:t>
      </w:r>
      <w:r w:rsidRPr="005E6B00">
        <w:rPr>
          <w:b/>
        </w:rPr>
        <w:t>”</w:t>
      </w:r>
    </w:p>
    <w:p w:rsidR="00AB2FA3" w:rsidRPr="005E6B00" w:rsidRDefault="00AB2FA3" w:rsidP="005E6B00">
      <w:pPr>
        <w:jc w:val="both"/>
        <w:rPr>
          <w:b/>
        </w:rPr>
      </w:pPr>
      <w:r w:rsidRPr="005E6B00">
        <w:rPr>
          <w:b/>
        </w:rPr>
        <w:t xml:space="preserve">III. PODSTAWA PRAWNA  </w:t>
      </w:r>
    </w:p>
    <w:p w:rsidR="00AB2FA3" w:rsidRDefault="00AB2FA3" w:rsidP="005E6B00">
      <w:pPr>
        <w:jc w:val="both"/>
      </w:pPr>
      <w:r>
        <w:t xml:space="preserve">Wstępne konsultacje rynkowe prowadzone są na podstawie art. 84 ustawy z dnia 11 września 2019 r. Prawo zamówień publicznych (Dz. U. z 2021 r. poz. 1129 ze zm.) oraz zgodnie z „Regulaminem przeprowadzania wstępnych konsultacji rynkowych” (dalej jako Regulamin) opublikowanym na stronie internetowej Zamawiającego.  </w:t>
      </w:r>
    </w:p>
    <w:p w:rsidR="00AB2FA3" w:rsidRPr="005E6B00" w:rsidRDefault="00AB2FA3" w:rsidP="005E6B00">
      <w:pPr>
        <w:jc w:val="both"/>
        <w:rPr>
          <w:b/>
        </w:rPr>
      </w:pPr>
      <w:r w:rsidRPr="005E6B00">
        <w:rPr>
          <w:b/>
        </w:rPr>
        <w:t xml:space="preserve">IV. PRZEDMIOT ZAMÓWIENIA ORAZ CEL PROWADZENIA WSTĘPNYCH KONSULTACJI RYNKOWYCH  </w:t>
      </w:r>
    </w:p>
    <w:p w:rsidR="00AB2FA3" w:rsidRDefault="00AB2FA3" w:rsidP="005E6B00">
      <w:pPr>
        <w:jc w:val="both"/>
      </w:pPr>
      <w:r>
        <w:t>1.</w:t>
      </w:r>
      <w:r w:rsidR="005E6B00">
        <w:t xml:space="preserve"> </w:t>
      </w:r>
      <w:r>
        <w:t>Zamawiający informuje niniejszym o zamiarze przeprowadzenia wstępnych konsultacji rynkowych w celu przygotowania postępowania o udzielenie zamówienia publicznego, którego przedmiotem będzie</w:t>
      </w:r>
      <w:r w:rsidR="0098153D">
        <w:t xml:space="preserve"> </w:t>
      </w:r>
      <w:r w:rsidR="00F830EA">
        <w:t xml:space="preserve">wsparcie informatyczne i w obszarze </w:t>
      </w:r>
      <w:proofErr w:type="spellStart"/>
      <w:r w:rsidR="00F830EA">
        <w:t>cyberbezpieczeństwa</w:t>
      </w:r>
      <w:proofErr w:type="spellEnd"/>
      <w:r w:rsidR="00F830EA">
        <w:t xml:space="preserve"> na rzecz Urzędu </w:t>
      </w:r>
      <w:r w:rsidR="0098153D">
        <w:t>Miasta Świnoujście w 2024 roku</w:t>
      </w:r>
      <w:r>
        <w:t>.</w:t>
      </w:r>
    </w:p>
    <w:p w:rsidR="0098153D" w:rsidRDefault="00AB2FA3" w:rsidP="005E6B00">
      <w:pPr>
        <w:jc w:val="both"/>
      </w:pPr>
      <w:r>
        <w:t>2.</w:t>
      </w:r>
      <w:r w:rsidR="005E6B00">
        <w:t xml:space="preserve"> </w:t>
      </w:r>
      <w:r>
        <w:t>Podczas wstępnych konsultacji rynkowych Zamawiający planuje sprecyzować swoje wymagania dotyczące przygotowywanego zamówienia i uzyskać informacje w zakresie</w:t>
      </w:r>
      <w:r w:rsidR="0098153D">
        <w:t xml:space="preserve"> możliwości rynkowych spełniających ja</w:t>
      </w:r>
      <w:r w:rsidR="0098153D" w:rsidRPr="008C7AFC">
        <w:t>k najlepiej wymagania dot.</w:t>
      </w:r>
      <w:r w:rsidR="008C7AFC" w:rsidRPr="008C7AFC">
        <w:t xml:space="preserve"> </w:t>
      </w:r>
      <w:r w:rsidR="00F830EA">
        <w:t>wsparcia</w:t>
      </w:r>
      <w:r w:rsidR="00F830EA">
        <w:t xml:space="preserve"> informatyczne</w:t>
      </w:r>
      <w:r w:rsidR="00F830EA">
        <w:t>go</w:t>
      </w:r>
      <w:bookmarkStart w:id="0" w:name="_GoBack"/>
      <w:bookmarkEnd w:id="0"/>
      <w:r w:rsidR="00F830EA">
        <w:t xml:space="preserve"> i w obszarze </w:t>
      </w:r>
      <w:proofErr w:type="spellStart"/>
      <w:r w:rsidR="00F830EA">
        <w:t>cyberbezpieczeństwa</w:t>
      </w:r>
      <w:proofErr w:type="spellEnd"/>
      <w:r w:rsidR="008C7AFC">
        <w:t xml:space="preserve">, </w:t>
      </w:r>
      <w:r w:rsidR="0098153D">
        <w:t>w szczególności:</w:t>
      </w:r>
    </w:p>
    <w:p w:rsidR="009030DD" w:rsidRPr="006D425E" w:rsidRDefault="009030DD" w:rsidP="009030DD">
      <w:pPr>
        <w:pStyle w:val="NormalnyWeb"/>
        <w:numPr>
          <w:ilvl w:val="0"/>
          <w:numId w:val="7"/>
        </w:numPr>
        <w:tabs>
          <w:tab w:val="clear" w:pos="-360"/>
          <w:tab w:val="num" w:pos="992"/>
        </w:tabs>
        <w:spacing w:before="0" w:after="0"/>
        <w:ind w:firstLine="1"/>
        <w:jc w:val="both"/>
      </w:pPr>
      <w:r w:rsidRPr="006D425E">
        <w:t xml:space="preserve">Wsparciu w administrowaniu usługami </w:t>
      </w:r>
      <w:r>
        <w:t xml:space="preserve">IT w </w:t>
      </w:r>
      <w:r w:rsidRPr="006D425E">
        <w:t>UM w zakresie:</w:t>
      </w:r>
    </w:p>
    <w:p w:rsidR="009030DD" w:rsidRPr="006D425E" w:rsidRDefault="009030DD" w:rsidP="009030DD">
      <w:pPr>
        <w:pStyle w:val="NormalnyWeb"/>
        <w:numPr>
          <w:ilvl w:val="0"/>
          <w:numId w:val="8"/>
        </w:numPr>
        <w:tabs>
          <w:tab w:val="clear" w:pos="0"/>
          <w:tab w:val="num" w:pos="348"/>
        </w:tabs>
        <w:spacing w:before="0" w:after="0"/>
        <w:ind w:left="1776"/>
        <w:jc w:val="both"/>
      </w:pPr>
      <w:r w:rsidRPr="006D425E">
        <w:t xml:space="preserve">obsługi </w:t>
      </w:r>
      <w:r>
        <w:t xml:space="preserve">konfiguracji i </w:t>
      </w:r>
      <w:r w:rsidRPr="006D425E">
        <w:t>eksploatac</w:t>
      </w:r>
      <w:r>
        <w:t>ji</w:t>
      </w:r>
      <w:r w:rsidRPr="006D425E">
        <w:t xml:space="preserve"> </w:t>
      </w:r>
      <w:r w:rsidRPr="006D425E">
        <w:rPr>
          <w:b/>
        </w:rPr>
        <w:t>sieci LAN</w:t>
      </w:r>
      <w:r w:rsidRPr="006D425E">
        <w:t xml:space="preserve">, w tym szczególnie tworzenia nowych i obsługi istniejących </w:t>
      </w:r>
      <w:r w:rsidRPr="006D425E">
        <w:rPr>
          <w:b/>
        </w:rPr>
        <w:t>VLAN</w:t>
      </w:r>
      <w:r w:rsidRPr="006D425E">
        <w:t xml:space="preserve">, </w:t>
      </w:r>
      <w:r>
        <w:t>z uwzględnieniem wymaganej</w:t>
      </w:r>
      <w:r w:rsidRPr="006D425E">
        <w:t xml:space="preserve"> separacji</w:t>
      </w:r>
      <w:r>
        <w:t xml:space="preserve"> sieci</w:t>
      </w:r>
      <w:r w:rsidRPr="006D425E">
        <w:t>,</w:t>
      </w:r>
      <w:r>
        <w:t xml:space="preserve"> w tym zarządzanie fizycznymi urządzeniami oraz konfiguracją urządzeń sieciowych,</w:t>
      </w:r>
    </w:p>
    <w:p w:rsidR="009030DD" w:rsidRDefault="009030DD" w:rsidP="009030DD">
      <w:pPr>
        <w:pStyle w:val="NormalnyWeb"/>
        <w:numPr>
          <w:ilvl w:val="0"/>
          <w:numId w:val="8"/>
        </w:numPr>
        <w:tabs>
          <w:tab w:val="clear" w:pos="0"/>
          <w:tab w:val="num" w:pos="348"/>
        </w:tabs>
        <w:spacing w:before="0" w:after="0"/>
        <w:ind w:left="1776"/>
        <w:jc w:val="both"/>
      </w:pPr>
      <w:r w:rsidRPr="006D425E">
        <w:t xml:space="preserve">obsługi domeny </w:t>
      </w:r>
      <w:r w:rsidRPr="006D425E">
        <w:rPr>
          <w:b/>
        </w:rPr>
        <w:t>Active Directory</w:t>
      </w:r>
      <w:r w:rsidRPr="006D425E">
        <w:t xml:space="preserve">, w tym szczególnie </w:t>
      </w:r>
      <w:r>
        <w:t>zarządzaniu użytkownikami i ich uprawnieniami, integracją metod uwierzytelnienia AD ze wskazanymi innymi usługami,</w:t>
      </w:r>
    </w:p>
    <w:p w:rsidR="009030DD" w:rsidRDefault="009030DD" w:rsidP="009030DD">
      <w:pPr>
        <w:pStyle w:val="NormalnyWeb"/>
        <w:numPr>
          <w:ilvl w:val="0"/>
          <w:numId w:val="8"/>
        </w:numPr>
        <w:tabs>
          <w:tab w:val="clear" w:pos="0"/>
          <w:tab w:val="num" w:pos="348"/>
        </w:tabs>
        <w:spacing w:before="0" w:after="0"/>
        <w:ind w:left="1776"/>
        <w:jc w:val="both"/>
      </w:pPr>
      <w:r w:rsidRPr="006D425E">
        <w:t xml:space="preserve">obsługi konfiguracji usług </w:t>
      </w:r>
      <w:r w:rsidRPr="006D425E">
        <w:rPr>
          <w:b/>
        </w:rPr>
        <w:t>zapór sieciowych</w:t>
      </w:r>
      <w:r w:rsidRPr="006D425E">
        <w:t>, w tym szczególnie konfiguracji nowych zapór,</w:t>
      </w:r>
      <w:r>
        <w:t xml:space="preserve"> zarządzaniu regułami,</w:t>
      </w:r>
    </w:p>
    <w:p w:rsidR="009030DD" w:rsidRPr="006D425E" w:rsidRDefault="009030DD" w:rsidP="009030DD">
      <w:pPr>
        <w:pStyle w:val="NormalnyWeb"/>
        <w:numPr>
          <w:ilvl w:val="0"/>
          <w:numId w:val="8"/>
        </w:numPr>
        <w:tabs>
          <w:tab w:val="clear" w:pos="0"/>
          <w:tab w:val="num" w:pos="348"/>
        </w:tabs>
        <w:spacing w:before="0" w:after="0"/>
        <w:ind w:left="1776"/>
        <w:jc w:val="both"/>
      </w:pPr>
      <w:r w:rsidRPr="006D425E">
        <w:t xml:space="preserve">tworzenia kopii zapasowych w istniejącym oprogramowaniu </w:t>
      </w:r>
      <w:proofErr w:type="spellStart"/>
      <w:r w:rsidRPr="006D425E">
        <w:rPr>
          <w:b/>
        </w:rPr>
        <w:t>Veeam</w:t>
      </w:r>
      <w:proofErr w:type="spellEnd"/>
      <w:r w:rsidRPr="006D425E">
        <w:t xml:space="preserve"> i wsparcia w administrowaniu istniejącym serwerem kopii zapasowych,</w:t>
      </w:r>
    </w:p>
    <w:p w:rsidR="009030DD" w:rsidRPr="006D425E" w:rsidRDefault="009030DD" w:rsidP="009030DD">
      <w:pPr>
        <w:pStyle w:val="NormalnyWeb"/>
        <w:numPr>
          <w:ilvl w:val="0"/>
          <w:numId w:val="8"/>
        </w:numPr>
        <w:tabs>
          <w:tab w:val="clear" w:pos="0"/>
          <w:tab w:val="num" w:pos="708"/>
        </w:tabs>
        <w:spacing w:before="0" w:after="0"/>
        <w:ind w:left="1788"/>
        <w:jc w:val="both"/>
      </w:pPr>
      <w:r w:rsidRPr="006D425E">
        <w:t xml:space="preserve">wsparcia w administracji istniejących usług </w:t>
      </w:r>
      <w:r>
        <w:t xml:space="preserve">IT </w:t>
      </w:r>
      <w:r w:rsidRPr="006D425E">
        <w:t>eksploatowanych w UM,</w:t>
      </w:r>
    </w:p>
    <w:p w:rsidR="009030DD" w:rsidRDefault="009030DD" w:rsidP="009030DD">
      <w:pPr>
        <w:pStyle w:val="NormalnyWeb"/>
        <w:numPr>
          <w:ilvl w:val="0"/>
          <w:numId w:val="8"/>
        </w:numPr>
        <w:tabs>
          <w:tab w:val="clear" w:pos="0"/>
          <w:tab w:val="num" w:pos="708"/>
        </w:tabs>
        <w:spacing w:before="0" w:after="0"/>
        <w:ind w:left="1788"/>
        <w:jc w:val="both"/>
      </w:pPr>
      <w:r w:rsidRPr="006D425E">
        <w:t xml:space="preserve">wsparciu w integracji, rozbudowie usług związanych z </w:t>
      </w:r>
      <w:proofErr w:type="spellStart"/>
      <w:r w:rsidRPr="006D425E">
        <w:rPr>
          <w:b/>
        </w:rPr>
        <w:t>ePUAP</w:t>
      </w:r>
      <w:proofErr w:type="spellEnd"/>
      <w:r>
        <w:t xml:space="preserve"> i </w:t>
      </w:r>
      <w:proofErr w:type="spellStart"/>
      <w:r w:rsidRPr="001E5ED4">
        <w:rPr>
          <w:b/>
        </w:rPr>
        <w:t>eDoręczeniami</w:t>
      </w:r>
      <w:proofErr w:type="spellEnd"/>
      <w:r>
        <w:t>,</w:t>
      </w:r>
    </w:p>
    <w:p w:rsidR="009030DD" w:rsidRDefault="009030DD" w:rsidP="009030DD">
      <w:pPr>
        <w:pStyle w:val="NormalnyWeb"/>
        <w:numPr>
          <w:ilvl w:val="0"/>
          <w:numId w:val="8"/>
        </w:numPr>
        <w:tabs>
          <w:tab w:val="clear" w:pos="0"/>
          <w:tab w:val="num" w:pos="708"/>
        </w:tabs>
        <w:spacing w:before="0" w:after="0"/>
        <w:ind w:left="1788"/>
        <w:jc w:val="both"/>
      </w:pPr>
      <w:r>
        <w:t>wsparciu w implementacji wymagań związanych z NIS2</w:t>
      </w:r>
    </w:p>
    <w:p w:rsidR="009030DD" w:rsidRDefault="009030DD" w:rsidP="009030DD">
      <w:pPr>
        <w:pStyle w:val="NormalnyWeb"/>
        <w:numPr>
          <w:ilvl w:val="0"/>
          <w:numId w:val="9"/>
        </w:numPr>
        <w:spacing w:before="0" w:after="0"/>
        <w:jc w:val="both"/>
      </w:pPr>
      <w:r w:rsidRPr="006D425E">
        <w:t xml:space="preserve">Wsparciu w </w:t>
      </w:r>
      <w:r w:rsidRPr="00572E8A">
        <w:rPr>
          <w:b/>
        </w:rPr>
        <w:t>aktualizacji</w:t>
      </w:r>
      <w:r w:rsidRPr="006D425E">
        <w:t xml:space="preserve"> istniejących systemów i usług,</w:t>
      </w:r>
      <w:r>
        <w:t xml:space="preserve"> </w:t>
      </w:r>
      <w:r w:rsidRPr="00572E8A">
        <w:rPr>
          <w:b/>
        </w:rPr>
        <w:t>wdrażaniu</w:t>
      </w:r>
      <w:r w:rsidRPr="006D425E">
        <w:t xml:space="preserve"> nowych usług</w:t>
      </w:r>
      <w:r>
        <w:t>,</w:t>
      </w:r>
    </w:p>
    <w:p w:rsidR="009030DD" w:rsidRDefault="009030DD" w:rsidP="009030DD">
      <w:pPr>
        <w:pStyle w:val="NormalnyWeb"/>
        <w:numPr>
          <w:ilvl w:val="0"/>
          <w:numId w:val="9"/>
        </w:numPr>
        <w:spacing w:before="0" w:after="0"/>
        <w:jc w:val="both"/>
      </w:pPr>
      <w:r>
        <w:t xml:space="preserve">Wsparcie w przypadku </w:t>
      </w:r>
      <w:r w:rsidRPr="009030DD">
        <w:rPr>
          <w:b/>
        </w:rPr>
        <w:t>wystąpienia utrudnień i/lub awarii</w:t>
      </w:r>
    </w:p>
    <w:p w:rsidR="009030DD" w:rsidRDefault="008C7AFC" w:rsidP="009030DD">
      <w:pPr>
        <w:pStyle w:val="NormalnyWeb"/>
        <w:numPr>
          <w:ilvl w:val="0"/>
          <w:numId w:val="9"/>
        </w:numPr>
        <w:spacing w:before="0" w:after="0"/>
        <w:jc w:val="both"/>
      </w:pPr>
      <w:r w:rsidRPr="009030DD">
        <w:lastRenderedPageBreak/>
        <w:t xml:space="preserve">Dostawca </w:t>
      </w:r>
      <w:r>
        <w:t xml:space="preserve">zapewni, na całym </w:t>
      </w:r>
      <w:r w:rsidR="009030DD">
        <w:t>wspieranym</w:t>
      </w:r>
      <w:r>
        <w:t xml:space="preserve"> obszarze, zachowanie tajemnicy telekomunikacyjnej.</w:t>
      </w:r>
    </w:p>
    <w:p w:rsidR="008C7AFC" w:rsidRDefault="008C7AFC" w:rsidP="009030DD">
      <w:pPr>
        <w:pStyle w:val="NormalnyWeb"/>
        <w:numPr>
          <w:ilvl w:val="0"/>
          <w:numId w:val="9"/>
        </w:numPr>
        <w:spacing w:before="0" w:after="0"/>
        <w:jc w:val="both"/>
      </w:pPr>
      <w:r>
        <w:t>Dostawca zapewnia, iż wypełniać będzie postanowienia umowy z dołożeniem należytej staranności z uwzględnieniem zawodowego charakteru prowadzonej działalności, zgodnie z najlepszą wiedzą, mając na uwadze w szczególności wymagania i ograniczenia wynikające z:</w:t>
      </w:r>
    </w:p>
    <w:p w:rsidR="008C7AFC" w:rsidRDefault="008C7AFC" w:rsidP="008C7AFC">
      <w:pPr>
        <w:pStyle w:val="Indeks"/>
        <w:numPr>
          <w:ilvl w:val="1"/>
          <w:numId w:val="5"/>
        </w:numPr>
      </w:pPr>
      <w:r>
        <w:t xml:space="preserve">przepisów </w:t>
      </w:r>
      <w:r>
        <w:rPr>
          <w:b/>
          <w:bCs/>
        </w:rPr>
        <w:t>Prawo Telekomunikacyjne</w:t>
      </w:r>
      <w:r>
        <w:t xml:space="preserve"> (Dz.U. 2021 poz. 576), </w:t>
      </w:r>
    </w:p>
    <w:p w:rsidR="008C7AFC" w:rsidRDefault="008C7AFC" w:rsidP="008C7AFC">
      <w:pPr>
        <w:pStyle w:val="Indeks"/>
        <w:numPr>
          <w:ilvl w:val="1"/>
          <w:numId w:val="5"/>
        </w:numPr>
      </w:pPr>
      <w:r>
        <w:t xml:space="preserve">przepisów </w:t>
      </w:r>
      <w:r>
        <w:rPr>
          <w:b/>
          <w:bCs/>
        </w:rPr>
        <w:t>Krajowych Ram Interoperacyjności</w:t>
      </w:r>
      <w:r>
        <w:t xml:space="preserve"> (Dz.U. 2017 poz. 2247), </w:t>
      </w:r>
    </w:p>
    <w:p w:rsidR="008C7AFC" w:rsidRDefault="008C7AFC" w:rsidP="008C7AFC">
      <w:pPr>
        <w:pStyle w:val="Indeks"/>
        <w:numPr>
          <w:ilvl w:val="1"/>
          <w:numId w:val="5"/>
        </w:numPr>
      </w:pPr>
      <w:r>
        <w:t xml:space="preserve">przepisów </w:t>
      </w:r>
      <w:r>
        <w:rPr>
          <w:b/>
          <w:bCs/>
        </w:rPr>
        <w:t xml:space="preserve">Krajowego Systemu </w:t>
      </w:r>
      <w:proofErr w:type="spellStart"/>
      <w:r>
        <w:rPr>
          <w:b/>
          <w:bCs/>
        </w:rPr>
        <w:t>Cyberbezpieczeństwa</w:t>
      </w:r>
      <w:proofErr w:type="spellEnd"/>
      <w:r>
        <w:t xml:space="preserve"> (Dz.U.2018 poz. 1560),</w:t>
      </w:r>
    </w:p>
    <w:p w:rsidR="009030DD" w:rsidRDefault="008C7AFC" w:rsidP="009030DD">
      <w:pPr>
        <w:pStyle w:val="Indeks"/>
        <w:numPr>
          <w:ilvl w:val="1"/>
          <w:numId w:val="5"/>
        </w:numPr>
      </w:pPr>
      <w:r>
        <w:t>dyrektyw NIS i NIS2,</w:t>
      </w:r>
    </w:p>
    <w:p w:rsidR="009030DD" w:rsidRDefault="009030DD" w:rsidP="009030DD">
      <w:pPr>
        <w:pStyle w:val="Indeks"/>
        <w:numPr>
          <w:ilvl w:val="0"/>
          <w:numId w:val="9"/>
        </w:numPr>
      </w:pPr>
      <w:r>
        <w:t>Istotny z punktu widzenia Zamawiającego jest czas dostępności Pracowników Wspierającego. Zarówno ‘online’ jak i przede wszystkim ‘</w:t>
      </w:r>
      <w:proofErr w:type="spellStart"/>
      <w:r>
        <w:t>onsite</w:t>
      </w:r>
      <w:proofErr w:type="spellEnd"/>
      <w:r>
        <w:t>’.</w:t>
      </w:r>
    </w:p>
    <w:p w:rsidR="0098153D" w:rsidRDefault="0098153D" w:rsidP="0098153D">
      <w:pPr>
        <w:jc w:val="both"/>
      </w:pPr>
    </w:p>
    <w:p w:rsidR="00AB2FA3" w:rsidRPr="005E6B00" w:rsidRDefault="00AB2FA3" w:rsidP="005E6B00">
      <w:pPr>
        <w:jc w:val="both"/>
        <w:rPr>
          <w:b/>
        </w:rPr>
      </w:pPr>
      <w:r w:rsidRPr="005E6B00">
        <w:rPr>
          <w:b/>
        </w:rPr>
        <w:t xml:space="preserve">V. ZASADY PROWADZENIA WSTĘPNYCH KONSULTACJI RYNKOWYCH  </w:t>
      </w:r>
    </w:p>
    <w:p w:rsidR="00AB2FA3" w:rsidRDefault="00AB2FA3" w:rsidP="005E6B00">
      <w:pPr>
        <w:jc w:val="both"/>
      </w:pPr>
      <w:r>
        <w:t>1.</w:t>
      </w:r>
      <w:r w:rsidR="005E6B00">
        <w:t xml:space="preserve"> </w:t>
      </w:r>
      <w:r>
        <w:t xml:space="preserve">Wstępne konsultacje rynkowe prowadzone będą zgodnie z postanowieniami Regulaminu opublikowanego na stronie internetowej Zamawiającego.  </w:t>
      </w:r>
    </w:p>
    <w:p w:rsidR="00AB2FA3" w:rsidRDefault="00AB2FA3" w:rsidP="005E6B00">
      <w:pPr>
        <w:jc w:val="both"/>
      </w:pPr>
      <w:r>
        <w:t>2.</w:t>
      </w:r>
      <w:r w:rsidR="005E6B00">
        <w:t xml:space="preserve"> </w:t>
      </w:r>
      <w:r>
        <w:t xml:space="preserve">Warunkiem udziału we wstępnych konsultacjach rynkowych jest przekazanie Zamawiającemu zgłoszenia, stanowiącego Załącznik nr 1 do niniejszej Informacji, wraz z dokumentem poświadczającym należyte umocowanie do reprezentacji Zgłaszającego, w terminie określonym  w niniejszej Informacji. Poprzez dokument poświadczający należyte umocowanie rozumie się dokument, z którego wynika upoważnienie do reprezentowania Zgłaszającego. W przypadku, gdy zgłoszenie podpisuje pełnomocnik, wymagane są: dokument pełnomocnictwa oraz dokument,  z którego wynika uprawnienie dla osoby udzielającej pełnomocnictwa do dokonania takiej czynności, jeżeli takie umocowanie nie wynika z dokumentów ogólnie dostępnych w bazach CEIDG lub KRS.  </w:t>
      </w:r>
    </w:p>
    <w:p w:rsidR="00AB2FA3" w:rsidRDefault="00AB2FA3" w:rsidP="005E6B00">
      <w:pPr>
        <w:jc w:val="both"/>
      </w:pPr>
      <w:r>
        <w:t>3.</w:t>
      </w:r>
      <w:r w:rsidR="005E6B00">
        <w:t xml:space="preserve"> </w:t>
      </w:r>
      <w:r>
        <w:t xml:space="preserve">Wstępne konsultacje rynkowe prowadzone będą w języku polskim. Do dokumentów sporządzonych w innych językach niż polski powinny być dołączone tłumaczenia na język polski.  </w:t>
      </w:r>
    </w:p>
    <w:p w:rsidR="00AB2FA3" w:rsidRDefault="00AB2FA3" w:rsidP="005E6B00">
      <w:pPr>
        <w:jc w:val="both"/>
      </w:pPr>
      <w:r>
        <w:t>4.</w:t>
      </w:r>
      <w:r w:rsidR="005E6B00">
        <w:t xml:space="preserve"> </w:t>
      </w:r>
      <w:r>
        <w:t xml:space="preserve">Wstępne konsultacje rynkowe mają charakter jawny, z zastrzeżeniem §6 ust. 10 Regulaminu.  </w:t>
      </w:r>
    </w:p>
    <w:p w:rsidR="00AB2FA3" w:rsidRDefault="00AB2FA3" w:rsidP="005E6B00">
      <w:pPr>
        <w:jc w:val="both"/>
      </w:pPr>
      <w:r>
        <w:t>5.</w:t>
      </w:r>
      <w:r w:rsidR="005E6B00">
        <w:t xml:space="preserve"> </w:t>
      </w:r>
      <w:r>
        <w:t xml:space="preserve">Wstępne konsultacje rynkowe prowadzone mogą być w formie lub formach określonych w §6 ust. 4 Regulaminu.  </w:t>
      </w:r>
    </w:p>
    <w:p w:rsidR="00AB2FA3" w:rsidRDefault="005E6B00" w:rsidP="005E6B00">
      <w:pPr>
        <w:jc w:val="both"/>
      </w:pPr>
      <w:r>
        <w:t xml:space="preserve">6. </w:t>
      </w:r>
      <w:r w:rsidR="00AB2FA3">
        <w:t xml:space="preserve">Termin zakończenia wstępnych konsultacji rynkowych przewidywany jest na dzień </w:t>
      </w:r>
      <w:r w:rsidR="00F24B2F">
        <w:t>8</w:t>
      </w:r>
      <w:r w:rsidR="00AB2FA3">
        <w:t>.</w:t>
      </w:r>
      <w:r w:rsidR="00F24B2F">
        <w:t>12</w:t>
      </w:r>
      <w:r w:rsidR="00AB2FA3">
        <w:t xml:space="preserve">.2023 r.  </w:t>
      </w:r>
    </w:p>
    <w:p w:rsidR="00AB2FA3" w:rsidRDefault="00AB2FA3" w:rsidP="005E6B00">
      <w:pPr>
        <w:jc w:val="both"/>
      </w:pPr>
      <w:r>
        <w:t xml:space="preserve">VI. ZGŁOSZENIE DO UDZIAŁU WE WSTĘPNYCH KONSULTACJACH RYNKOWYCH  </w:t>
      </w:r>
    </w:p>
    <w:p w:rsidR="00AB2FA3" w:rsidRDefault="00AB2FA3" w:rsidP="005E6B00">
      <w:pPr>
        <w:jc w:val="both"/>
      </w:pPr>
      <w:r>
        <w:t>1.</w:t>
      </w:r>
      <w:r w:rsidR="005E6B00">
        <w:t xml:space="preserve"> </w:t>
      </w:r>
      <w:r>
        <w:t xml:space="preserve">Podmioty zainteresowane udziałem we wstępnych konsultacjach rynkowych, spełniające wymagania określone w niniejszej Informacji oraz w Regulaminie, składają prawidłowo wypełnione i podpisane zgłoszenia do udziału we wstępnych konsultacjach rynkowych (Załącznik nr 1) wraz z pozostałymi dokumentami wskazanymi w niniejszej Informacji.  </w:t>
      </w:r>
    </w:p>
    <w:p w:rsidR="00545374" w:rsidRDefault="00AB2FA3" w:rsidP="005E6B00">
      <w:pPr>
        <w:jc w:val="both"/>
      </w:pPr>
      <w:r>
        <w:t>2.</w:t>
      </w:r>
      <w:r w:rsidR="005E6B00">
        <w:t xml:space="preserve"> </w:t>
      </w:r>
      <w:r>
        <w:t>Zgłoszenia należy składać za pośrednictwem poczty elektronicznej na adres</w:t>
      </w:r>
      <w:r w:rsidR="00545374">
        <w:t xml:space="preserve">: </w:t>
      </w:r>
    </w:p>
    <w:p w:rsidR="00F24B2F" w:rsidRDefault="00F830EA" w:rsidP="00F24B2F">
      <w:pPr>
        <w:jc w:val="center"/>
      </w:pPr>
      <w:hyperlink r:id="rId6" w:history="1">
        <w:r w:rsidR="00003661" w:rsidRPr="00A50D52">
          <w:rPr>
            <w:rStyle w:val="Hipercze"/>
          </w:rPr>
          <w:t>wszymanowski@um.swinoujscie.pl</w:t>
        </w:r>
      </w:hyperlink>
      <w:r w:rsidR="00003661">
        <w:t xml:space="preserve"> </w:t>
      </w:r>
    </w:p>
    <w:p w:rsidR="00AB2FA3" w:rsidRDefault="00AB2FA3" w:rsidP="005E6B00">
      <w:pPr>
        <w:jc w:val="both"/>
      </w:pPr>
      <w:r>
        <w:t>3.</w:t>
      </w:r>
      <w:r w:rsidR="005E6B00">
        <w:t xml:space="preserve"> </w:t>
      </w:r>
      <w:r>
        <w:t xml:space="preserve">Zgłoszenia należy składać w terminie do dnia </w:t>
      </w:r>
      <w:r w:rsidR="00F24B2F">
        <w:t>30</w:t>
      </w:r>
      <w:r>
        <w:t>.</w:t>
      </w:r>
      <w:r w:rsidR="00F24B2F">
        <w:t>1</w:t>
      </w:r>
      <w:r w:rsidR="00A0039E">
        <w:t>1</w:t>
      </w:r>
      <w:r>
        <w:t xml:space="preserve">.2023 r. Decyduje data wpływu zgłoszenia do Zamawiającego.  </w:t>
      </w:r>
    </w:p>
    <w:p w:rsidR="00AB2FA3" w:rsidRDefault="00AB2FA3" w:rsidP="005E6B00">
      <w:pPr>
        <w:jc w:val="both"/>
      </w:pPr>
      <w:r>
        <w:lastRenderedPageBreak/>
        <w:t>4.</w:t>
      </w:r>
      <w:r w:rsidR="005E6B00">
        <w:t xml:space="preserve"> </w:t>
      </w:r>
      <w:r>
        <w:t xml:space="preserve">Zamawiający nie będzie zobowiązany do podjęcia wstępnych konsultacji rynkowych z podmiotami, które złożą zgłoszenie do udziału we wstępnych konsultacjach rynkowych po upływie terminu wskazanego w ust. 3.  </w:t>
      </w:r>
    </w:p>
    <w:p w:rsidR="00AB2FA3" w:rsidRDefault="00AB2FA3" w:rsidP="005E6B00">
      <w:pPr>
        <w:jc w:val="both"/>
      </w:pPr>
      <w:r>
        <w:t xml:space="preserve">Załączniki:  </w:t>
      </w:r>
    </w:p>
    <w:p w:rsidR="00362387" w:rsidRDefault="00AB2FA3" w:rsidP="005E6B00">
      <w:pPr>
        <w:jc w:val="both"/>
      </w:pPr>
      <w:r>
        <w:t xml:space="preserve">Załącznik nr 1 – Formularz zgłoszenia do udziału we wstępnych konsultacjach rynkowych.  </w:t>
      </w:r>
    </w:p>
    <w:sectPr w:rsidR="0036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 %1."/>
      <w:lvlJc w:val="left"/>
      <w:pPr>
        <w:tabs>
          <w:tab w:val="num" w:pos="-360"/>
        </w:tabs>
        <w:ind w:left="708" w:hanging="360"/>
      </w:p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2" w15:restartNumberingAfterBreak="0">
    <w:nsid w:val="1DD77F37"/>
    <w:multiLevelType w:val="hybridMultilevel"/>
    <w:tmpl w:val="E2C2DAC2"/>
    <w:lvl w:ilvl="0" w:tplc="510C93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C960AA"/>
    <w:multiLevelType w:val="hybridMultilevel"/>
    <w:tmpl w:val="60E47E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B20F0"/>
    <w:multiLevelType w:val="multilevel"/>
    <w:tmpl w:val="7D2CA30C"/>
    <w:lvl w:ilvl="0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</w:lvl>
    <w:lvl w:ilvl="1">
      <w:start w:val="1"/>
      <w:numFmt w:val="decimal"/>
      <w:lvlText w:val="%2."/>
      <w:lvlJc w:val="left"/>
      <w:pPr>
        <w:tabs>
          <w:tab w:val="num" w:pos="1102"/>
        </w:tabs>
        <w:ind w:left="1102" w:hanging="360"/>
      </w:pPr>
    </w:lvl>
    <w:lvl w:ilvl="2">
      <w:start w:val="1"/>
      <w:numFmt w:val="lowerLetter"/>
      <w:lvlText w:val="%3."/>
      <w:lvlJc w:val="left"/>
      <w:pPr>
        <w:tabs>
          <w:tab w:val="num" w:pos="1462"/>
        </w:tabs>
        <w:ind w:left="1462" w:hanging="36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>
      <w:start w:val="1"/>
      <w:numFmt w:val="decimal"/>
      <w:lvlText w:val="%6."/>
      <w:lvlJc w:val="left"/>
      <w:pPr>
        <w:tabs>
          <w:tab w:val="num" w:pos="2542"/>
        </w:tabs>
        <w:ind w:left="2542" w:hanging="360"/>
      </w:pPr>
    </w:lvl>
    <w:lvl w:ilvl="6">
      <w:start w:val="1"/>
      <w:numFmt w:val="decimal"/>
      <w:lvlText w:val="%7."/>
      <w:lvlJc w:val="left"/>
      <w:pPr>
        <w:tabs>
          <w:tab w:val="num" w:pos="2902"/>
        </w:tabs>
        <w:ind w:left="2902" w:hanging="360"/>
      </w:pPr>
    </w:lvl>
    <w:lvl w:ilvl="7">
      <w:start w:val="1"/>
      <w:numFmt w:val="decimal"/>
      <w:lvlText w:val="%8."/>
      <w:lvlJc w:val="left"/>
      <w:pPr>
        <w:tabs>
          <w:tab w:val="num" w:pos="3262"/>
        </w:tabs>
        <w:ind w:left="3262" w:hanging="360"/>
      </w:pPr>
    </w:lvl>
    <w:lvl w:ilvl="8">
      <w:start w:val="1"/>
      <w:numFmt w:val="decimal"/>
      <w:lvlText w:val="%9."/>
      <w:lvlJc w:val="left"/>
      <w:pPr>
        <w:tabs>
          <w:tab w:val="num" w:pos="3622"/>
        </w:tabs>
        <w:ind w:left="3622" w:hanging="360"/>
      </w:pPr>
    </w:lvl>
  </w:abstractNum>
  <w:abstractNum w:abstractNumId="5" w15:restartNumberingAfterBreak="0">
    <w:nsid w:val="4AEC755F"/>
    <w:multiLevelType w:val="hybridMultilevel"/>
    <w:tmpl w:val="2B769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B129D"/>
    <w:multiLevelType w:val="multilevel"/>
    <w:tmpl w:val="8A5A4AF4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2" w:hanging="180"/>
      </w:pPr>
    </w:lvl>
  </w:abstractNum>
  <w:abstractNum w:abstractNumId="7" w15:restartNumberingAfterBreak="0">
    <w:nsid w:val="764E55DD"/>
    <w:multiLevelType w:val="hybridMultilevel"/>
    <w:tmpl w:val="37808DF0"/>
    <w:lvl w:ilvl="0" w:tplc="43DE229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844EE5"/>
    <w:multiLevelType w:val="hybridMultilevel"/>
    <w:tmpl w:val="DBB44B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A3"/>
    <w:rsid w:val="00003661"/>
    <w:rsid w:val="00347BD3"/>
    <w:rsid w:val="00362387"/>
    <w:rsid w:val="004C2D53"/>
    <w:rsid w:val="00545374"/>
    <w:rsid w:val="005E6B00"/>
    <w:rsid w:val="008C7AFC"/>
    <w:rsid w:val="009030DD"/>
    <w:rsid w:val="0098153D"/>
    <w:rsid w:val="00A0039E"/>
    <w:rsid w:val="00AB2FA3"/>
    <w:rsid w:val="00F24B2F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7A50"/>
  <w15:chartTrackingRefBased/>
  <w15:docId w15:val="{8FBC395A-4AB1-4BEF-8CBD-0CE4997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6B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6B00"/>
    <w:pPr>
      <w:ind w:left="720"/>
      <w:contextualSpacing/>
    </w:pPr>
  </w:style>
  <w:style w:type="paragraph" w:customStyle="1" w:styleId="Indeks">
    <w:name w:val="Indeks"/>
    <w:basedOn w:val="Normalny"/>
    <w:qFormat/>
    <w:rsid w:val="008C7AFC"/>
    <w:pPr>
      <w:suppressLineNumbers/>
      <w:suppressAutoHyphens/>
      <w:spacing w:after="8" w:line="247" w:lineRule="auto"/>
      <w:ind w:left="25" w:hanging="3"/>
      <w:jc w:val="both"/>
    </w:pPr>
    <w:rPr>
      <w:rFonts w:ascii="Times New Roman" w:eastAsia="Times New Roman" w:hAnsi="Times New Roman" w:cs="Lohit Devanagari"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rsid w:val="009030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zymanowski@um.swinoujscie.pl" TargetMode="External"/><Relationship Id="rId5" Type="http://schemas.openxmlformats.org/officeDocument/2006/relationships/hyperlink" Target="mailto:wszymanowski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Szymanowski Wiktor</dc:creator>
  <cp:keywords/>
  <dc:description/>
  <cp:lastModifiedBy>Szymanowski Wiktor</cp:lastModifiedBy>
  <cp:revision>10</cp:revision>
  <dcterms:created xsi:type="dcterms:W3CDTF">2023-08-07T11:54:00Z</dcterms:created>
  <dcterms:modified xsi:type="dcterms:W3CDTF">2023-11-17T07:06:00Z</dcterms:modified>
</cp:coreProperties>
</file>