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866292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10"/>
          <w:szCs w:val="10"/>
        </w:rPr>
      </w:pPr>
    </w:p>
    <w:p w14:paraId="6CBFF0C2" w14:textId="10007B18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3450AB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7079C086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zatrudnienie : o</w:t>
      </w:r>
      <w:r w:rsidR="00BE0E0E">
        <w:rPr>
          <w:rFonts w:eastAsia="Times New Roman"/>
          <w:lang w:eastAsia="ar-SA"/>
        </w:rPr>
        <w:t xml:space="preserve">d </w:t>
      </w:r>
      <w:r w:rsidR="00BF134D">
        <w:rPr>
          <w:rFonts w:eastAsia="Times New Roman"/>
          <w:lang w:eastAsia="ar-SA"/>
        </w:rPr>
        <w:t>21</w:t>
      </w:r>
      <w:r w:rsidR="003450AB">
        <w:rPr>
          <w:rFonts w:eastAsia="Times New Roman"/>
          <w:lang w:eastAsia="ar-SA"/>
        </w:rPr>
        <w:t>.0</w:t>
      </w:r>
      <w:r w:rsidR="0054037B">
        <w:rPr>
          <w:rFonts w:eastAsia="Times New Roman"/>
          <w:lang w:eastAsia="ar-SA"/>
        </w:rPr>
        <w:t>8</w:t>
      </w:r>
      <w:r w:rsidR="003450A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1348B17A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54037B">
        <w:rPr>
          <w:rFonts w:ascii="Times New Roman" w:eastAsia="Times New Roman" w:hAnsi="Times New Roman"/>
          <w:b/>
          <w:bCs/>
          <w:sz w:val="24"/>
          <w:szCs w:val="24"/>
        </w:rPr>
        <w:t>czerwcu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CA26249" w14:textId="77777777" w:rsidR="00866292" w:rsidRDefault="00866292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ECD89" w14:textId="4F8857F0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D47B90E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</w:t>
      </w:r>
      <w:r w:rsidR="0046230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758C8A34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>Klauzula informacyjna do pobrania na stronie internetowej</w:t>
      </w:r>
      <w:r w:rsidR="001B37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5DC72094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F134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</w:t>
      </w:r>
      <w:r w:rsidR="001B37B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F134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sierpień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3CA16B0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793C396" w14:textId="1AC31561" w:rsidR="00866292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917F371" w14:textId="36E321A6" w:rsidR="00866292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8EB0DA" w14:textId="77777777" w:rsidR="00866292" w:rsidRPr="00DF161A" w:rsidRDefault="00866292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B37B8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62300"/>
    <w:rsid w:val="004C499C"/>
    <w:rsid w:val="004F7A7A"/>
    <w:rsid w:val="00500E18"/>
    <w:rsid w:val="00501A7E"/>
    <w:rsid w:val="00511955"/>
    <w:rsid w:val="00512992"/>
    <w:rsid w:val="00530C11"/>
    <w:rsid w:val="0054037B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87B34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0002E"/>
    <w:rsid w:val="008171EA"/>
    <w:rsid w:val="008427EB"/>
    <w:rsid w:val="00844AD8"/>
    <w:rsid w:val="00861FFE"/>
    <w:rsid w:val="00866292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0E0E"/>
    <w:rsid w:val="00BE5BF7"/>
    <w:rsid w:val="00BE65C2"/>
    <w:rsid w:val="00BF134D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13</cp:revision>
  <cp:lastPrinted>2023-06-23T12:11:00Z</cp:lastPrinted>
  <dcterms:created xsi:type="dcterms:W3CDTF">2023-06-23T09:32:00Z</dcterms:created>
  <dcterms:modified xsi:type="dcterms:W3CDTF">2023-07-28T07:48:00Z</dcterms:modified>
</cp:coreProperties>
</file>