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52FC9370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42EDB">
        <w:rPr>
          <w:rFonts w:ascii="Times New Roman" w:hAnsi="Times New Roman"/>
          <w:b/>
          <w:sz w:val="24"/>
          <w:szCs w:val="24"/>
        </w:rPr>
        <w:t>,</w:t>
      </w:r>
      <w:r w:rsidR="009E393E">
        <w:rPr>
          <w:rFonts w:ascii="Times New Roman" w:hAnsi="Times New Roman"/>
          <w:b/>
          <w:sz w:val="24"/>
          <w:szCs w:val="24"/>
        </w:rPr>
        <w:t xml:space="preserve"> </w:t>
      </w:r>
      <w:r w:rsidR="00F42EDB">
        <w:rPr>
          <w:rFonts w:ascii="Times New Roman" w:hAnsi="Times New Roman"/>
          <w:b/>
          <w:sz w:val="24"/>
          <w:szCs w:val="24"/>
        </w:rPr>
        <w:t>inspektor ds. płac</w:t>
      </w:r>
      <w:r w:rsidR="001D3566">
        <w:rPr>
          <w:rFonts w:ascii="Times New Roman" w:hAnsi="Times New Roman"/>
          <w:b/>
          <w:sz w:val="24"/>
          <w:szCs w:val="24"/>
        </w:rPr>
        <w:t xml:space="preserve"> 2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77777777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382C44C6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163EB024" w:rsidR="00A41540" w:rsidRPr="00F42EDB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eastAsia="Times New Roman"/>
          <w:lang w:eastAsia="ar-SA"/>
        </w:rPr>
        <w:br/>
      </w:r>
      <w:r w:rsidRPr="00F42EDB">
        <w:rPr>
          <w:rFonts w:ascii="Times New Roman" w:eastAsia="Times New Roman" w:hAnsi="Times New Roman"/>
          <w:b/>
          <w:bCs/>
        </w:rPr>
        <w:t>Wskaźnik zatrudniania osób niepełnosprawnych w Centrum Usług Wspólnych Gminy Miasto Świnoujście w Świnoujściu, w rozumieniu przepisów o rehabilitacji zawodowej i społecznej oraz zatrudnianiu osób niepełnosprawnych w styczniu 2023r. nie przekroczył 6%.</w:t>
      </w:r>
    </w:p>
    <w:p w14:paraId="3C92FC88" w14:textId="36C56079" w:rsidR="00301004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930F93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930F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Kserokopie dokumentów, które składa kandydat powinny być przez niego potwierdzone </w:t>
      </w:r>
      <w:r w:rsidR="00233328" w:rsidRPr="00930F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             </w:t>
      </w:r>
      <w:r w:rsidRPr="00930F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za zgodność z oryginałem. </w:t>
      </w:r>
    </w:p>
    <w:p w14:paraId="098BFB3C" w14:textId="77777777" w:rsidR="00D76D86" w:rsidRPr="00930F93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930F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Dokumenty składane w oryginale winny być opatrzone własnoręcznym podpisem. </w:t>
      </w:r>
    </w:p>
    <w:p w14:paraId="5A31DCC0" w14:textId="77777777" w:rsidR="00D76D86" w:rsidRPr="00930F93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690C9513" w14:textId="1663BABD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22 marca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643EB"/>
    <w:rsid w:val="003656C1"/>
    <w:rsid w:val="00377169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5</cp:revision>
  <cp:lastPrinted>2023-02-14T07:00:00Z</cp:lastPrinted>
  <dcterms:created xsi:type="dcterms:W3CDTF">2023-03-08T12:44:00Z</dcterms:created>
  <dcterms:modified xsi:type="dcterms:W3CDTF">2023-03-09T11:58:00Z</dcterms:modified>
</cp:coreProperties>
</file>