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5D73D9" w:rsidP="00777D6E">
      <w:pPr>
        <w:ind w:left="5664" w:firstLine="708"/>
        <w:rPr>
          <w:sz w:val="20"/>
        </w:rPr>
      </w:pPr>
      <w:r>
        <w:rPr>
          <w:sz w:val="20"/>
        </w:rPr>
        <w:t>do zarządzenia nr    124</w:t>
      </w:r>
      <w:r w:rsidR="00B959FD">
        <w:rPr>
          <w:sz w:val="20"/>
        </w:rPr>
        <w:t xml:space="preserve"> </w:t>
      </w:r>
      <w:r w:rsidR="005E50EB">
        <w:rPr>
          <w:sz w:val="20"/>
        </w:rPr>
        <w:t>/2023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5D73D9">
        <w:rPr>
          <w:sz w:val="20"/>
        </w:rPr>
        <w:t xml:space="preserve"> 3 marca</w:t>
      </w:r>
      <w:r w:rsidR="00E1411D">
        <w:rPr>
          <w:sz w:val="20"/>
        </w:rPr>
        <w:t xml:space="preserve"> </w:t>
      </w:r>
      <w:r w:rsidR="0017255A">
        <w:rPr>
          <w:sz w:val="20"/>
        </w:rPr>
        <w:t xml:space="preserve"> </w:t>
      </w:r>
      <w:r w:rsidR="005E50EB">
        <w:rPr>
          <w:sz w:val="20"/>
        </w:rPr>
        <w:t>2023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  <w:bookmarkStart w:id="0" w:name="_GoBack"/>
      <w:bookmarkEnd w:id="0"/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5E50EB">
        <w:rPr>
          <w:b w:val="0"/>
        </w:rPr>
        <w:t>. z 2022 r. poz. 1608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5E50EB">
        <w:rPr>
          <w:rFonts w:cs="Tahoma"/>
          <w:szCs w:val="24"/>
        </w:rPr>
        <w:t xml:space="preserve"> (Dz. U. z 2022 r. poz. 2000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</w:t>
      </w:r>
      <w:r w:rsidR="008B0C95">
        <w:t>ów wyjaśnienia lub oświadczenia,</w:t>
      </w:r>
    </w:p>
    <w:p w:rsidR="008B0C95" w:rsidRDefault="008B0C95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ma prawo żądać od oferentów</w:t>
      </w:r>
      <w:r w:rsidR="00414D98">
        <w:t xml:space="preserve">, </w:t>
      </w:r>
      <w:r>
        <w:t>w określonym przez siebie terminie</w:t>
      </w:r>
      <w:r w:rsidR="00414D98">
        <w:t xml:space="preserve">, </w:t>
      </w:r>
      <w:r>
        <w:t>dodatkowych wyjaśnień dotyczących złożonych ofert.</w:t>
      </w:r>
    </w:p>
    <w:p w:rsidR="003503AD" w:rsidRDefault="003503AD" w:rsidP="008B0C95">
      <w:pPr>
        <w:tabs>
          <w:tab w:val="left" w:pos="360"/>
          <w:tab w:val="left" w:pos="900"/>
        </w:tabs>
        <w:jc w:val="both"/>
      </w:pP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9779D3">
      <w:pPr>
        <w:pStyle w:val="Akapitzlist"/>
        <w:numPr>
          <w:ilvl w:val="0"/>
          <w:numId w:val="33"/>
        </w:numPr>
        <w:suppressAutoHyphens w:val="0"/>
        <w:jc w:val="both"/>
      </w:pPr>
      <w:r>
        <w:t xml:space="preserve">uwzględnienie odwołania, </w:t>
      </w:r>
    </w:p>
    <w:p w:rsidR="00526703" w:rsidRDefault="00526703" w:rsidP="009779D3">
      <w:pPr>
        <w:pStyle w:val="Akapitzlist"/>
        <w:numPr>
          <w:ilvl w:val="0"/>
          <w:numId w:val="33"/>
        </w:numPr>
        <w:suppressAutoHyphens w:val="0"/>
        <w:jc w:val="both"/>
      </w:pPr>
      <w:r>
        <w:t xml:space="preserve">częściowe uwzględnienie odwołania, </w:t>
      </w:r>
    </w:p>
    <w:p w:rsidR="00526703" w:rsidRDefault="00526703" w:rsidP="009779D3">
      <w:pPr>
        <w:pStyle w:val="Akapitzlist"/>
        <w:numPr>
          <w:ilvl w:val="0"/>
          <w:numId w:val="33"/>
        </w:numPr>
        <w:suppressAutoHyphens w:val="0"/>
        <w:jc w:val="both"/>
      </w:pPr>
      <w:r>
        <w:t xml:space="preserve">oddalenie odwołania, </w:t>
      </w:r>
    </w:p>
    <w:p w:rsidR="00526703" w:rsidRPr="00526703" w:rsidRDefault="00526703" w:rsidP="009779D3">
      <w:pPr>
        <w:pStyle w:val="Akapitzlist"/>
        <w:numPr>
          <w:ilvl w:val="0"/>
          <w:numId w:val="33"/>
        </w:numPr>
        <w:suppressAutoHyphens w:val="0"/>
        <w:jc w:val="both"/>
      </w:pPr>
      <w:r>
        <w:t>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3201EF"/>
    <w:multiLevelType w:val="hybridMultilevel"/>
    <w:tmpl w:val="C144FBB2"/>
    <w:lvl w:ilvl="0" w:tplc="355A391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25"/>
  </w:num>
  <w:num w:numId="16">
    <w:abstractNumId w:val="26"/>
  </w:num>
  <w:num w:numId="17">
    <w:abstractNumId w:val="11"/>
  </w:num>
  <w:num w:numId="18">
    <w:abstractNumId w:val="21"/>
  </w:num>
  <w:num w:numId="19">
    <w:abstractNumId w:val="29"/>
  </w:num>
  <w:num w:numId="20">
    <w:abstractNumId w:val="24"/>
  </w:num>
  <w:num w:numId="21">
    <w:abstractNumId w:val="30"/>
  </w:num>
  <w:num w:numId="22">
    <w:abstractNumId w:val="17"/>
  </w:num>
  <w:num w:numId="23">
    <w:abstractNumId w:val="22"/>
  </w:num>
  <w:num w:numId="24">
    <w:abstractNumId w:val="16"/>
  </w:num>
  <w:num w:numId="25">
    <w:abstractNumId w:val="1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27"/>
  </w:num>
  <w:num w:numId="30">
    <w:abstractNumId w:val="20"/>
  </w:num>
  <w:num w:numId="31">
    <w:abstractNumId w:val="28"/>
  </w:num>
  <w:num w:numId="32">
    <w:abstractNumId w:val="1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B66C9"/>
    <w:rsid w:val="001D129E"/>
    <w:rsid w:val="001F00E6"/>
    <w:rsid w:val="00233975"/>
    <w:rsid w:val="00264590"/>
    <w:rsid w:val="002D732C"/>
    <w:rsid w:val="00322CEB"/>
    <w:rsid w:val="003503AD"/>
    <w:rsid w:val="00352168"/>
    <w:rsid w:val="00366806"/>
    <w:rsid w:val="003F01D6"/>
    <w:rsid w:val="003F02DB"/>
    <w:rsid w:val="00414D98"/>
    <w:rsid w:val="00460941"/>
    <w:rsid w:val="00480AB5"/>
    <w:rsid w:val="00487E1F"/>
    <w:rsid w:val="004A086E"/>
    <w:rsid w:val="004E0045"/>
    <w:rsid w:val="004F0610"/>
    <w:rsid w:val="00526703"/>
    <w:rsid w:val="005503BB"/>
    <w:rsid w:val="00581325"/>
    <w:rsid w:val="00585999"/>
    <w:rsid w:val="005D73D9"/>
    <w:rsid w:val="005E50EB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B0C95"/>
    <w:rsid w:val="008C0E17"/>
    <w:rsid w:val="0090186C"/>
    <w:rsid w:val="00927468"/>
    <w:rsid w:val="009536B4"/>
    <w:rsid w:val="009779D3"/>
    <w:rsid w:val="00987A35"/>
    <w:rsid w:val="00A1156C"/>
    <w:rsid w:val="00A366E7"/>
    <w:rsid w:val="00A72086"/>
    <w:rsid w:val="00AE4894"/>
    <w:rsid w:val="00B0783E"/>
    <w:rsid w:val="00B1069C"/>
    <w:rsid w:val="00B70EAA"/>
    <w:rsid w:val="00B7709D"/>
    <w:rsid w:val="00B959FD"/>
    <w:rsid w:val="00BB3172"/>
    <w:rsid w:val="00BC4669"/>
    <w:rsid w:val="00BF3D91"/>
    <w:rsid w:val="00C05B12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1411D"/>
    <w:rsid w:val="00E23E6F"/>
    <w:rsid w:val="00E40E3A"/>
    <w:rsid w:val="00E42669"/>
    <w:rsid w:val="00ED7F33"/>
    <w:rsid w:val="00EF6FFF"/>
    <w:rsid w:val="00F76427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7AD9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64</cp:revision>
  <cp:lastPrinted>2023-02-28T07:57:00Z</cp:lastPrinted>
  <dcterms:created xsi:type="dcterms:W3CDTF">2020-01-13T13:43:00Z</dcterms:created>
  <dcterms:modified xsi:type="dcterms:W3CDTF">2023-03-03T09:26:00Z</dcterms:modified>
</cp:coreProperties>
</file>