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9360EA">
        <w:rPr>
          <w:color w:val="000000"/>
          <w:sz w:val="20"/>
          <w:szCs w:val="20"/>
          <w:lang w:eastAsia="en-US" w:bidi="en-US"/>
        </w:rPr>
        <w:t xml:space="preserve">  17</w:t>
      </w:r>
      <w:r w:rsidR="00C76BE8">
        <w:rPr>
          <w:color w:val="000000"/>
          <w:sz w:val="20"/>
          <w:szCs w:val="20"/>
          <w:lang w:eastAsia="en-US" w:bidi="en-US"/>
        </w:rPr>
        <w:t xml:space="preserve"> /2023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9360EA">
        <w:rPr>
          <w:color w:val="000000"/>
          <w:sz w:val="20"/>
          <w:szCs w:val="20"/>
          <w:lang w:eastAsia="en-US" w:bidi="en-US"/>
        </w:rPr>
        <w:t xml:space="preserve"> 9</w:t>
      </w:r>
      <w:r w:rsidR="00464815">
        <w:rPr>
          <w:color w:val="000000"/>
          <w:sz w:val="20"/>
          <w:szCs w:val="20"/>
          <w:lang w:eastAsia="en-US" w:bidi="en-US"/>
        </w:rPr>
        <w:t xml:space="preserve"> stycznia </w:t>
      </w:r>
      <w:r w:rsidR="00C76BE8">
        <w:rPr>
          <w:color w:val="000000"/>
          <w:sz w:val="20"/>
          <w:szCs w:val="20"/>
          <w:lang w:eastAsia="en-US" w:bidi="en-US"/>
        </w:rPr>
        <w:t xml:space="preserve"> 2023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A620D0">
        <w:rPr>
          <w:b/>
          <w:bCs/>
          <w:color w:val="000000"/>
          <w:sz w:val="24"/>
          <w:lang w:eastAsia="en-US" w:bidi="en-US"/>
        </w:rPr>
        <w:t>ZADAŃ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C76BE8">
        <w:rPr>
          <w:sz w:val="24"/>
          <w:lang w:eastAsia="ar-SA"/>
        </w:rPr>
        <w:t>(Dz. U. z 2022</w:t>
      </w:r>
      <w:r w:rsidR="00BB617D" w:rsidRPr="004348BC">
        <w:rPr>
          <w:sz w:val="24"/>
          <w:lang w:eastAsia="ar-SA"/>
        </w:rPr>
        <w:t> r.</w:t>
      </w:r>
      <w:r w:rsidR="00C76BE8">
        <w:rPr>
          <w:sz w:val="24"/>
          <w:lang w:eastAsia="ar-SA"/>
        </w:rPr>
        <w:t xml:space="preserve"> poz. 1608</w:t>
      </w:r>
      <w:r w:rsidR="00E22917">
        <w:rPr>
          <w:sz w:val="24"/>
          <w:lang w:eastAsia="ar-SA"/>
        </w:rPr>
        <w:t xml:space="preserve"> ze 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</w:t>
      </w:r>
      <w:r w:rsidR="009A5601">
        <w:rPr>
          <w:color w:val="000000"/>
          <w:sz w:val="24"/>
          <w:lang w:eastAsia="en-US" w:bidi="en-US"/>
        </w:rPr>
        <w:t xml:space="preserve"> realizację niżej wymienionych </w:t>
      </w:r>
      <w:r w:rsidR="00545E73">
        <w:rPr>
          <w:color w:val="000000"/>
          <w:sz w:val="24"/>
          <w:lang w:eastAsia="en-US" w:bidi="en-US"/>
        </w:rPr>
        <w:t>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>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7D59BC" w:rsidRPr="004348BC">
        <w:rPr>
          <w:b/>
          <w:bCs/>
          <w:sz w:val="24"/>
        </w:rPr>
        <w:t>:</w:t>
      </w:r>
      <w:r w:rsidR="007D59BC">
        <w:rPr>
          <w:b/>
          <w:bCs/>
          <w:sz w:val="24"/>
        </w:rPr>
        <w:t xml:space="preserve"> </w:t>
      </w:r>
    </w:p>
    <w:p w:rsidR="00547D24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9A5601" w:rsidRDefault="00547D24" w:rsidP="007D59BC">
      <w:pPr>
        <w:pStyle w:val="Li"/>
        <w:tabs>
          <w:tab w:val="left" w:pos="425"/>
        </w:tabs>
        <w:jc w:val="both"/>
      </w:pPr>
      <w:r w:rsidRPr="004348BC">
        <w:rPr>
          <w:b/>
        </w:rPr>
        <w:t>Zadanie nr 1</w:t>
      </w:r>
      <w:r w:rsidRPr="004348BC">
        <w:t xml:space="preserve">. </w:t>
      </w:r>
    </w:p>
    <w:p w:rsidR="009A5601" w:rsidRPr="006B72F6" w:rsidRDefault="009A5601" w:rsidP="009A5601">
      <w:pPr>
        <w:pStyle w:val="Li"/>
        <w:tabs>
          <w:tab w:val="left" w:pos="425"/>
        </w:tabs>
        <w:jc w:val="both"/>
        <w:rPr>
          <w:lang w:val="pl-PL"/>
        </w:rPr>
      </w:pPr>
      <w:r>
        <w:t>R</w:t>
      </w:r>
      <w:r w:rsidRPr="00BD7973">
        <w:t>ealizacja programów profilaktycznych wspierających rodziców/opiekunów w prawidłowym</w:t>
      </w:r>
      <w:r>
        <w:t xml:space="preserve"> wypełnianiu ról rodzicielskich</w:t>
      </w:r>
      <w:r w:rsidRPr="00BD7973">
        <w:t xml:space="preserve"> - kwota przeznaczona na realizację zadania </w:t>
      </w:r>
      <w:r w:rsidR="00C76BE8">
        <w:rPr>
          <w:lang w:val="pl-PL"/>
        </w:rPr>
        <w:t>43.200</w:t>
      </w:r>
      <w:r w:rsidRPr="00BD7973">
        <w:t xml:space="preserve"> </w:t>
      </w:r>
      <w:r>
        <w:t> </w:t>
      </w:r>
      <w:r w:rsidRPr="00BD7973">
        <w:t>zł,</w:t>
      </w:r>
      <w:r>
        <w:rPr>
          <w:lang w:val="pl-PL"/>
        </w:rPr>
        <w:t xml:space="preserve"> zadanie do realiz</w:t>
      </w:r>
      <w:r w:rsidR="00C76BE8">
        <w:rPr>
          <w:lang w:val="pl-PL"/>
        </w:rPr>
        <w:t>acji w roku 2023</w:t>
      </w:r>
      <w:r>
        <w:rPr>
          <w:lang w:val="pl-PL"/>
        </w:rPr>
        <w:t>.</w:t>
      </w:r>
      <w:r w:rsidR="00457C16">
        <w:rPr>
          <w:lang w:val="pl-PL"/>
        </w:rPr>
        <w:t xml:space="preserve"> (od</w:t>
      </w:r>
      <w:r w:rsidR="00C76BE8">
        <w:rPr>
          <w:lang w:val="pl-PL"/>
        </w:rPr>
        <w:t xml:space="preserve"> dnia zawarcia umowy w roku 2023</w:t>
      </w:r>
      <w:r w:rsidR="00457C16">
        <w:rPr>
          <w:lang w:val="pl-PL"/>
        </w:rPr>
        <w:t xml:space="preserve"> do </w:t>
      </w:r>
      <w:r w:rsidR="00CF4717">
        <w:rPr>
          <w:lang w:val="pl-PL"/>
        </w:rPr>
        <w:t xml:space="preserve">dnia </w:t>
      </w:r>
      <w:r w:rsidR="00C76BE8">
        <w:rPr>
          <w:lang w:val="pl-PL"/>
        </w:rPr>
        <w:t>15 grudnia 2023</w:t>
      </w:r>
      <w:r w:rsidR="00457C16">
        <w:rPr>
          <w:lang w:val="pl-PL"/>
        </w:rPr>
        <w:t xml:space="preserve"> r.)</w:t>
      </w:r>
    </w:p>
    <w:p w:rsidR="00547D24" w:rsidRPr="004348BC" w:rsidRDefault="00547D24" w:rsidP="00547D24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6B72F6" w:rsidRDefault="006B72F6" w:rsidP="006B72F6">
      <w:pPr>
        <w:pStyle w:val="Li"/>
        <w:tabs>
          <w:tab w:val="left" w:pos="425"/>
        </w:tabs>
        <w:jc w:val="both"/>
        <w:rPr>
          <w:lang w:val="pl-PL"/>
        </w:rPr>
      </w:pPr>
      <w:r w:rsidRPr="006B72F6">
        <w:rPr>
          <w:b/>
          <w:lang w:val="pl-PL"/>
        </w:rPr>
        <w:t>Zadanie nr 2</w:t>
      </w:r>
      <w:r>
        <w:rPr>
          <w:lang w:val="pl-PL"/>
        </w:rPr>
        <w:t xml:space="preserve"> </w:t>
      </w:r>
    </w:p>
    <w:p w:rsidR="009A5601" w:rsidRDefault="009A5601" w:rsidP="009A5601">
      <w:pPr>
        <w:pStyle w:val="Li"/>
        <w:tabs>
          <w:tab w:val="left" w:pos="425"/>
        </w:tabs>
        <w:jc w:val="both"/>
        <w:rPr>
          <w:lang w:val="pl-PL"/>
        </w:rPr>
      </w:pPr>
      <w:r>
        <w:t>R</w:t>
      </w:r>
      <w:r w:rsidRPr="00BD7973">
        <w:t xml:space="preserve">ealizacja programu z zakresu profilaktyki selektywnej dla dzieci i młodzieży zagrożonych wykluczeniem społecznym </w:t>
      </w:r>
      <w:r w:rsidRPr="00BD7973">
        <w:rPr>
          <w:lang w:val="pl-PL"/>
        </w:rPr>
        <w:t>tj. takich, które ze względu na deficyty emocjonalne i społeczne mogą wymagać nauczania indywidua</w:t>
      </w:r>
      <w:r>
        <w:rPr>
          <w:lang w:val="pl-PL"/>
        </w:rPr>
        <w:t xml:space="preserve">lnego lub są objęte nauczaniem indywidualnym bądź </w:t>
      </w:r>
      <w:r w:rsidRPr="00BD7973">
        <w:rPr>
          <w:lang w:val="pl-PL"/>
        </w:rPr>
        <w:t>zindywidualizowaną ścieżką nauczania</w:t>
      </w:r>
      <w:r w:rsidRPr="00BD7973">
        <w:t xml:space="preserve"> - kwota przeznaczo</w:t>
      </w:r>
      <w:r>
        <w:t xml:space="preserve">na na realizację zadania </w:t>
      </w:r>
      <w:r w:rsidR="00C76BE8">
        <w:rPr>
          <w:lang w:val="pl-PL"/>
        </w:rPr>
        <w:t>36.080</w:t>
      </w:r>
      <w:r>
        <w:t xml:space="preserve"> </w:t>
      </w:r>
      <w:r w:rsidRPr="00BD7973">
        <w:t>zł,</w:t>
      </w:r>
      <w:r w:rsidRPr="006B72F6">
        <w:rPr>
          <w:lang w:val="pl-PL"/>
        </w:rPr>
        <w:t xml:space="preserve"> </w:t>
      </w:r>
      <w:r>
        <w:rPr>
          <w:lang w:val="pl-PL"/>
        </w:rPr>
        <w:t>z</w:t>
      </w:r>
      <w:r w:rsidR="00C76BE8">
        <w:rPr>
          <w:lang w:val="pl-PL"/>
        </w:rPr>
        <w:t>adanie do realizacji w roku 2023</w:t>
      </w:r>
      <w:r>
        <w:rPr>
          <w:lang w:val="pl-PL"/>
        </w:rPr>
        <w:t>.</w:t>
      </w:r>
      <w:r w:rsidR="00457C16">
        <w:rPr>
          <w:lang w:val="pl-PL"/>
        </w:rPr>
        <w:t xml:space="preserve"> (od dnia zawarcia umowy </w:t>
      </w:r>
      <w:r w:rsidR="00C76BE8">
        <w:rPr>
          <w:lang w:val="pl-PL"/>
        </w:rPr>
        <w:t>w roku 2023</w:t>
      </w:r>
      <w:r w:rsidR="00457C16">
        <w:rPr>
          <w:lang w:val="pl-PL"/>
        </w:rPr>
        <w:t xml:space="preserve"> do </w:t>
      </w:r>
      <w:r w:rsidR="00C76BE8">
        <w:rPr>
          <w:lang w:val="pl-PL"/>
        </w:rPr>
        <w:t>dnia 15 grudnia 2023</w:t>
      </w:r>
      <w:r w:rsidR="000110AF">
        <w:rPr>
          <w:lang w:val="pl-PL"/>
        </w:rPr>
        <w:t> </w:t>
      </w:r>
      <w:r w:rsidR="00457C16">
        <w:rPr>
          <w:lang w:val="pl-PL"/>
        </w:rPr>
        <w:t xml:space="preserve">r.) </w:t>
      </w:r>
    </w:p>
    <w:p w:rsidR="005C44AF" w:rsidRDefault="005C44AF" w:rsidP="005B6041">
      <w:pPr>
        <w:spacing w:after="0" w:line="240" w:lineRule="auto"/>
        <w:jc w:val="both"/>
        <w:rPr>
          <w:b/>
          <w:bCs/>
          <w:sz w:val="24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>Zadanie do realizacji przez podmioty, których cele statutowe lub przedmiot działa</w:t>
      </w:r>
      <w:r w:rsidR="00376FB4">
        <w:rPr>
          <w:color w:val="000000"/>
          <w:kern w:val="1"/>
          <w:sz w:val="24"/>
          <w:lang w:eastAsia="en-US" w:bidi="en-US"/>
        </w:rPr>
        <w:t xml:space="preserve">lności dotyczą spraw objętych </w:t>
      </w:r>
      <w:r w:rsidRPr="004348BC">
        <w:rPr>
          <w:color w:val="000000"/>
          <w:kern w:val="1"/>
          <w:sz w:val="24"/>
          <w:lang w:eastAsia="en-US" w:bidi="en-US"/>
        </w:rPr>
        <w:t>zadaniam</w:t>
      </w:r>
      <w:r w:rsidR="00376FB4">
        <w:rPr>
          <w:color w:val="000000"/>
          <w:kern w:val="1"/>
          <w:sz w:val="24"/>
          <w:lang w:eastAsia="en-US" w:bidi="en-US"/>
        </w:rPr>
        <w:t xml:space="preserve">i określonymi </w:t>
      </w:r>
      <w:r w:rsidR="00867223">
        <w:rPr>
          <w:color w:val="000000"/>
          <w:kern w:val="1"/>
          <w:sz w:val="24"/>
          <w:lang w:eastAsia="en-US" w:bidi="en-US"/>
        </w:rPr>
        <w:t xml:space="preserve">w art. 2 ustawy </w:t>
      </w:r>
      <w:r w:rsidRPr="004348BC">
        <w:rPr>
          <w:color w:val="000000"/>
          <w:kern w:val="1"/>
          <w:sz w:val="24"/>
          <w:lang w:eastAsia="en-US" w:bidi="en-US"/>
        </w:rPr>
        <w:t>z dnia 11 września 2015 r. o zdrowiu publicznym, w tym organizacje pozarządowe i podmioty, o których mo</w:t>
      </w:r>
      <w:r w:rsidR="00325653">
        <w:rPr>
          <w:color w:val="000000"/>
          <w:kern w:val="1"/>
          <w:sz w:val="24"/>
          <w:lang w:eastAsia="en-US" w:bidi="en-US"/>
        </w:rPr>
        <w:t xml:space="preserve">wa w art. </w:t>
      </w:r>
      <w:r w:rsidR="00376FB4">
        <w:rPr>
          <w:color w:val="000000"/>
          <w:kern w:val="1"/>
          <w:sz w:val="24"/>
          <w:lang w:eastAsia="en-US" w:bidi="en-US"/>
        </w:rPr>
        <w:t>3 ust. 2 i 3</w:t>
      </w:r>
      <w:r w:rsidRPr="004348BC">
        <w:rPr>
          <w:color w:val="000000"/>
          <w:kern w:val="1"/>
          <w:sz w:val="24"/>
          <w:lang w:eastAsia="en-US" w:bidi="en-US"/>
        </w:rPr>
        <w:t xml:space="preserve"> us</w:t>
      </w:r>
      <w:r w:rsidR="00376FB4">
        <w:rPr>
          <w:color w:val="000000"/>
          <w:kern w:val="1"/>
          <w:sz w:val="24"/>
          <w:lang w:eastAsia="en-US" w:bidi="en-US"/>
        </w:rPr>
        <w:t xml:space="preserve">tawy z dnia </w:t>
      </w:r>
      <w:r w:rsidRPr="004348BC">
        <w:rPr>
          <w:color w:val="000000"/>
          <w:kern w:val="1"/>
          <w:sz w:val="24"/>
          <w:lang w:eastAsia="en-US" w:bidi="en-US"/>
        </w:rPr>
        <w:t>24 kwietnia 2003 r</w:t>
      </w:r>
      <w:r w:rsidR="00E631CB">
        <w:rPr>
          <w:color w:val="000000"/>
          <w:kern w:val="1"/>
          <w:sz w:val="24"/>
          <w:lang w:eastAsia="en-US" w:bidi="en-US"/>
        </w:rPr>
        <w:t xml:space="preserve">. o działalności </w:t>
      </w:r>
      <w:r w:rsidRPr="004348BC">
        <w:rPr>
          <w:color w:val="000000"/>
          <w:kern w:val="1"/>
          <w:sz w:val="24"/>
          <w:lang w:eastAsia="en-US" w:bidi="en-US"/>
        </w:rPr>
        <w:t xml:space="preserve">pożytku publicznego i o wolontariacie (Dz. U. </w:t>
      </w:r>
      <w:r w:rsidR="00C93418">
        <w:rPr>
          <w:color w:val="000000"/>
          <w:kern w:val="1"/>
          <w:sz w:val="24"/>
          <w:lang w:eastAsia="en-US" w:bidi="en-US"/>
        </w:rPr>
        <w:t>z 2022</w:t>
      </w:r>
      <w:r w:rsidR="00376FB4">
        <w:rPr>
          <w:color w:val="000000"/>
          <w:kern w:val="1"/>
          <w:sz w:val="24"/>
          <w:lang w:eastAsia="en-US" w:bidi="en-US"/>
        </w:rPr>
        <w:t xml:space="preserve"> r. </w:t>
      </w:r>
      <w:r w:rsidRPr="004348BC">
        <w:rPr>
          <w:color w:val="000000"/>
          <w:kern w:val="1"/>
          <w:sz w:val="24"/>
          <w:lang w:eastAsia="en-US" w:bidi="en-US"/>
        </w:rPr>
        <w:t>poz</w:t>
      </w:r>
      <w:r w:rsidR="00C93418">
        <w:rPr>
          <w:color w:val="000000"/>
          <w:kern w:val="1"/>
          <w:sz w:val="24"/>
          <w:lang w:eastAsia="en-US" w:bidi="en-US"/>
        </w:rPr>
        <w:t>. 1327</w:t>
      </w:r>
      <w:r w:rsidR="00376FB4">
        <w:rPr>
          <w:color w:val="000000"/>
          <w:kern w:val="1"/>
          <w:sz w:val="24"/>
          <w:lang w:eastAsia="en-US" w:bidi="en-US"/>
        </w:rPr>
        <w:t xml:space="preserve"> z </w:t>
      </w:r>
      <w:r w:rsidRPr="004348BC">
        <w:rPr>
          <w:color w:val="000000"/>
          <w:kern w:val="1"/>
          <w:sz w:val="24"/>
          <w:lang w:eastAsia="en-US" w:bidi="en-US"/>
        </w:rPr>
        <w:t>poźn. zm.).</w:t>
      </w:r>
    </w:p>
    <w:p w:rsidR="00E54CDD" w:rsidRPr="00E54CDD" w:rsidRDefault="00E54CDD" w:rsidP="00E54CDD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realizacji zadania preferowana jest realizacja programów</w:t>
      </w:r>
      <w:r w:rsidR="005A3C3B">
        <w:rPr>
          <w:color w:val="000000"/>
          <w:sz w:val="24"/>
          <w:lang w:eastAsia="en-US" w:bidi="en-US"/>
        </w:rPr>
        <w:t xml:space="preserve"> </w:t>
      </w:r>
      <w:r w:rsidRPr="004348BC">
        <w:rPr>
          <w:color w:val="000000"/>
          <w:sz w:val="24"/>
          <w:lang w:eastAsia="en-US" w:bidi="en-US"/>
        </w:rPr>
        <w:t xml:space="preserve">rekomendowanych </w:t>
      </w:r>
      <w:r w:rsidRPr="004348BC">
        <w:rPr>
          <w:sz w:val="24"/>
        </w:rPr>
        <w:t>w ramach Systemu rekomendacji programów prof</w:t>
      </w:r>
      <w:r w:rsidR="00034F76">
        <w:rPr>
          <w:sz w:val="24"/>
        </w:rPr>
        <w:t>ilaktycznych i promocji zdrowia</w:t>
      </w:r>
      <w:r w:rsidRPr="004348BC">
        <w:rPr>
          <w:sz w:val="24"/>
        </w:rPr>
        <w:t xml:space="preserve"> (System rekomendacji działa na poziomie krajowym od 2010 r. Jest to zadanie realizowane we współpracy czterech instytucji - </w:t>
      </w:r>
      <w:hyperlink r:id="rId8" w:history="1">
        <w:r w:rsidRPr="004348BC">
          <w:rPr>
            <w:rStyle w:val="Hipercze"/>
            <w:color w:val="auto"/>
            <w:sz w:val="24"/>
            <w:u w:val="none"/>
          </w:rPr>
          <w:t>Krajowego Biura ds. Przeciwdziałania Narkomanii</w:t>
        </w:r>
      </w:hyperlink>
      <w:r w:rsidRPr="004348BC">
        <w:rPr>
          <w:sz w:val="24"/>
        </w:rPr>
        <w:t xml:space="preserve">, </w:t>
      </w:r>
      <w:hyperlink r:id="rId9" w:history="1">
        <w:r w:rsidRPr="004348BC">
          <w:rPr>
            <w:rStyle w:val="Hipercze"/>
            <w:color w:val="auto"/>
            <w:sz w:val="24"/>
            <w:u w:val="none"/>
          </w:rPr>
          <w:t>Państwowej Agencji Rozwiązywania Problemów Alkoholowych</w:t>
        </w:r>
      </w:hyperlink>
      <w:r w:rsidRPr="004348BC">
        <w:rPr>
          <w:sz w:val="24"/>
        </w:rPr>
        <w:t xml:space="preserve">, </w:t>
      </w:r>
      <w:hyperlink r:id="rId10" w:history="1">
        <w:r w:rsidRPr="004348BC">
          <w:rPr>
            <w:rStyle w:val="Hipercze"/>
            <w:color w:val="auto"/>
            <w:sz w:val="24"/>
            <w:u w:val="none"/>
          </w:rPr>
          <w:t>Ośrodka Rozwoju Edukacji</w:t>
        </w:r>
      </w:hyperlink>
      <w:r w:rsidRPr="004348BC">
        <w:rPr>
          <w:sz w:val="24"/>
        </w:rPr>
        <w:t xml:space="preserve"> oraz </w:t>
      </w:r>
      <w:hyperlink r:id="rId11" w:history="1">
        <w:r w:rsidRPr="004348BC">
          <w:rPr>
            <w:rStyle w:val="Hipercze"/>
            <w:color w:val="auto"/>
            <w:sz w:val="24"/>
            <w:u w:val="none"/>
          </w:rPr>
          <w:t>Instytutu Psychiatrii i Neurologii</w:t>
        </w:r>
      </w:hyperlink>
      <w:r w:rsidRPr="004348BC">
        <w:rPr>
          <w:rStyle w:val="Hipercze"/>
          <w:color w:val="auto"/>
          <w:sz w:val="24"/>
          <w:u w:val="none"/>
        </w:rPr>
        <w:t>).</w:t>
      </w:r>
      <w:r w:rsidRPr="004348BC">
        <w:rPr>
          <w:sz w:val="24"/>
          <w:lang w:eastAsia="en-US" w:bidi="en-US"/>
        </w:rPr>
        <w:t xml:space="preserve">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Podmioty, które otrzymają środki finansowe na realizację zadania są zobowiązane zamieszczać w sposób czytelny informację, iż realizowany projekt jest dofinansowany z budżetu Miasta Świnoujście i w jakim procencie. Informacja, wraz z logotypem Miasta Świnoujście, powinna być zawarta w wydawanych w ramach zadania publikacjach, materiałach informacyjnych, promocyjnych.</w:t>
      </w:r>
    </w:p>
    <w:p w:rsidR="00173BA2" w:rsidRPr="004348BC" w:rsidRDefault="00034F76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sz w:val="24"/>
        </w:rPr>
        <w:t xml:space="preserve">Przyznane środki finansowe </w:t>
      </w:r>
      <w:r w:rsidR="00173BA2" w:rsidRPr="004348BC">
        <w:rPr>
          <w:sz w:val="24"/>
        </w:rPr>
        <w:t>mogą być wydatkowane wyłącznie na pokrycie wydatków (koszty kwalifikowane):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FB7904">
        <w:rPr>
          <w:sz w:val="24"/>
        </w:rPr>
        <w:t>oferentem a Miastem Świnoujście (np.: wynagrodzenie realizatorów prog</w:t>
      </w:r>
      <w:r w:rsidR="009C38EE">
        <w:rPr>
          <w:sz w:val="24"/>
        </w:rPr>
        <w:t>r</w:t>
      </w:r>
      <w:r w:rsidR="00FB7904">
        <w:rPr>
          <w:sz w:val="24"/>
        </w:rPr>
        <w:t>amu, najem pomieszczeń, materiały</w:t>
      </w:r>
      <w:r w:rsidR="00866AE9">
        <w:rPr>
          <w:sz w:val="24"/>
        </w:rPr>
        <w:t>/artykuły</w:t>
      </w:r>
      <w:r w:rsidR="00FB7904">
        <w:rPr>
          <w:sz w:val="24"/>
        </w:rPr>
        <w:t xml:space="preserve"> niezbędne do przeprowadzenia zaję</w:t>
      </w:r>
      <w:r w:rsidR="009C38EE">
        <w:rPr>
          <w:sz w:val="24"/>
        </w:rPr>
        <w:t>ć)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C407EA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A61E4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koszty, których nie można sfi</w:t>
      </w:r>
      <w:r w:rsidR="00034F76">
        <w:rPr>
          <w:sz w:val="24"/>
        </w:rPr>
        <w:t>nansować z przyznanych środków publicznych uznaje się w </w:t>
      </w:r>
      <w:r w:rsidRPr="004348BC">
        <w:rPr>
          <w:sz w:val="24"/>
        </w:rPr>
        <w:t>szczególności (koszty niekwalifikowane):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wydatki związane z umową leasingu, a w szczególności: podatek, marża finansującego, odsetki od refinansowania kosztów, koszty </w:t>
      </w:r>
      <w:r>
        <w:rPr>
          <w:sz w:val="24"/>
        </w:rPr>
        <w:t>ogólne, opłaty ubezpieczeniowe,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Oferent nie może posiadać wymagalnego zadłu</w:t>
      </w:r>
      <w:r w:rsidR="003E020A">
        <w:rPr>
          <w:sz w:val="24"/>
        </w:rPr>
        <w:t xml:space="preserve">żenia wobec Miasta Świnoujście </w:t>
      </w:r>
      <w:r w:rsidRPr="004348BC">
        <w:rPr>
          <w:sz w:val="24"/>
        </w:rPr>
        <w:t xml:space="preserve">(Urzędu 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Miasto Świnoujście zastrzega sobie prawo do odstąpienia od zawarcia umowy lub natychmiastowego jej rozwiązania, jeżeli po zakończeniu procedury konkursowe</w:t>
      </w:r>
      <w:r w:rsidR="003E020A">
        <w:rPr>
          <w:sz w:val="24"/>
        </w:rPr>
        <w:t xml:space="preserve">j do Urzędu Miasta Świnoujście </w:t>
      </w:r>
      <w:r w:rsidRPr="004348BC">
        <w:rPr>
          <w:sz w:val="24"/>
        </w:rPr>
        <w:t>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>Szczegółowe warunki realizacji zadania nr 1:</w:t>
      </w:r>
    </w:p>
    <w:p w:rsidR="003E020A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adresowany do rodziców/opiekunów </w:t>
      </w:r>
      <w:r>
        <w:rPr>
          <w:color w:val="000000"/>
          <w:sz w:val="24"/>
          <w:lang w:eastAsia="en-US" w:bidi="en-US"/>
        </w:rPr>
        <w:t xml:space="preserve">dzieci i młodzieży do 18 r.ż., </w:t>
      </w:r>
      <w:r w:rsidRPr="004348BC">
        <w:rPr>
          <w:color w:val="000000"/>
          <w:sz w:val="24"/>
          <w:lang w:eastAsia="en-US" w:bidi="en-US"/>
        </w:rPr>
        <w:t>z terenu m</w:t>
      </w:r>
      <w:r w:rsidR="00193010">
        <w:rPr>
          <w:color w:val="000000"/>
          <w:sz w:val="24"/>
          <w:lang w:eastAsia="en-US" w:bidi="en-US"/>
        </w:rPr>
        <w:t xml:space="preserve">iasta Świnoujście, którzy chcą </w:t>
      </w:r>
      <w:r w:rsidR="00251E43">
        <w:rPr>
          <w:color w:val="000000"/>
          <w:sz w:val="24"/>
          <w:lang w:eastAsia="en-US" w:bidi="en-US"/>
        </w:rPr>
        <w:t xml:space="preserve">zwiększyć swoje </w:t>
      </w:r>
      <w:r w:rsidRPr="004348BC">
        <w:rPr>
          <w:color w:val="000000"/>
          <w:sz w:val="24"/>
          <w:lang w:eastAsia="en-US" w:bidi="en-US"/>
        </w:rPr>
        <w:t>kompetencje wychowawcze.</w:t>
      </w:r>
    </w:p>
    <w:p w:rsidR="003E020A" w:rsidRPr="00A43447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celu prawidłowego wykonania zadania</w:t>
      </w:r>
      <w:r w:rsidR="0011010A">
        <w:rPr>
          <w:color w:val="000000"/>
          <w:sz w:val="24"/>
          <w:lang w:eastAsia="en-US" w:bidi="en-US"/>
        </w:rPr>
        <w:t>,</w:t>
      </w:r>
      <w:r w:rsidRPr="004348BC">
        <w:rPr>
          <w:color w:val="000000"/>
          <w:sz w:val="24"/>
          <w:lang w:eastAsia="en-US" w:bidi="en-US"/>
        </w:rPr>
        <w:t xml:space="preserve"> w tym naboru uczestników realizator podejmie współpracę z placówkami oświatowymi, kuratorami sądowymi, pracownikami Miejskiego Ośrodka Pomocy R</w:t>
      </w:r>
      <w:r w:rsidR="0011010A">
        <w:rPr>
          <w:color w:val="000000"/>
          <w:sz w:val="24"/>
          <w:lang w:eastAsia="en-US" w:bidi="en-US"/>
        </w:rPr>
        <w:t xml:space="preserve">odzinie, pracownikami </w:t>
      </w:r>
      <w:r w:rsidRPr="004348BC">
        <w:rPr>
          <w:color w:val="000000"/>
          <w:sz w:val="24"/>
          <w:lang w:eastAsia="en-US" w:bidi="en-US"/>
        </w:rPr>
        <w:t>Poradni Psychologicz</w:t>
      </w:r>
      <w:r>
        <w:rPr>
          <w:color w:val="000000"/>
          <w:sz w:val="24"/>
          <w:lang w:eastAsia="en-US" w:bidi="en-US"/>
        </w:rPr>
        <w:t>no</w:t>
      </w:r>
      <w:r w:rsidR="00251E43">
        <w:rPr>
          <w:color w:val="000000"/>
          <w:sz w:val="24"/>
          <w:lang w:eastAsia="en-US" w:bidi="en-US"/>
        </w:rPr>
        <w:t>–Pedagogicznej, Zespołem Interdyscyplinarnym ds. Przeciwdziałania Przemocy w Rodzinie.</w:t>
      </w:r>
    </w:p>
    <w:p w:rsidR="003E020A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powinien składać się </w:t>
      </w:r>
      <w:r>
        <w:rPr>
          <w:color w:val="000000"/>
          <w:sz w:val="24"/>
          <w:lang w:eastAsia="en-US" w:bidi="en-US"/>
        </w:rPr>
        <w:t xml:space="preserve">z </w:t>
      </w:r>
      <w:r w:rsidR="00C51A8A">
        <w:rPr>
          <w:color w:val="000000"/>
          <w:sz w:val="24"/>
          <w:lang w:eastAsia="en-US" w:bidi="en-US"/>
        </w:rPr>
        <w:t>kilku edycji (min. dwie)</w:t>
      </w:r>
      <w:r w:rsidR="005608C2">
        <w:rPr>
          <w:color w:val="000000"/>
          <w:sz w:val="24"/>
          <w:lang w:eastAsia="en-US" w:bidi="en-US"/>
        </w:rPr>
        <w:t>.</w:t>
      </w:r>
      <w:r w:rsidR="00C51A8A">
        <w:rPr>
          <w:color w:val="000000"/>
          <w:sz w:val="24"/>
          <w:lang w:eastAsia="en-US" w:bidi="en-US"/>
        </w:rPr>
        <w:t xml:space="preserve"> </w:t>
      </w:r>
    </w:p>
    <w:p w:rsidR="003E020A" w:rsidRPr="00FA631B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Pierwszeństwo uczestnictwa w programie mają rodz</w:t>
      </w:r>
      <w:r w:rsidR="00B30604">
        <w:rPr>
          <w:color w:val="000000"/>
          <w:sz w:val="24"/>
          <w:lang w:eastAsia="en-US" w:bidi="en-US"/>
        </w:rPr>
        <w:t xml:space="preserve">ice/opiekunowie, wobec których </w:t>
      </w:r>
      <w:r w:rsidRPr="004348BC">
        <w:rPr>
          <w:color w:val="000000"/>
          <w:sz w:val="24"/>
          <w:lang w:eastAsia="en-US" w:bidi="en-US"/>
        </w:rPr>
        <w:t>prowadzona j</w:t>
      </w:r>
      <w:r>
        <w:rPr>
          <w:color w:val="000000"/>
          <w:sz w:val="24"/>
          <w:lang w:eastAsia="en-US" w:bidi="en-US"/>
        </w:rPr>
        <w:t>est procedura Niebieskie Karty oraz rodzice</w:t>
      </w:r>
      <w:r w:rsidRPr="004348BC">
        <w:rPr>
          <w:color w:val="000000"/>
          <w:sz w:val="24"/>
          <w:lang w:eastAsia="en-US" w:bidi="en-US"/>
        </w:rPr>
        <w:t>/opiekunowie n</w:t>
      </w:r>
      <w:r w:rsidR="00B30604">
        <w:rPr>
          <w:color w:val="000000"/>
          <w:sz w:val="24"/>
          <w:lang w:eastAsia="en-US" w:bidi="en-US"/>
        </w:rPr>
        <w:t xml:space="preserve">iewydolni wychowawczo objęci procedurą Niebieskie Karty, nadzorem kuratorskim </w:t>
      </w:r>
      <w:r w:rsidRPr="004348BC">
        <w:rPr>
          <w:color w:val="000000"/>
          <w:sz w:val="24"/>
          <w:lang w:eastAsia="en-US" w:bidi="en-US"/>
        </w:rPr>
        <w:t>bądź asystenturą rodzinną.</w:t>
      </w:r>
    </w:p>
    <w:p w:rsidR="003E020A" w:rsidRPr="004348BC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Realizacja programu rozpoczni</w:t>
      </w:r>
      <w:r w:rsidR="00B30604">
        <w:rPr>
          <w:color w:val="000000"/>
          <w:sz w:val="24"/>
          <w:lang w:eastAsia="en-US" w:bidi="en-US"/>
        </w:rPr>
        <w:t xml:space="preserve">e się w momencie zebrania min. </w:t>
      </w:r>
      <w:r w:rsidR="005608C2">
        <w:rPr>
          <w:color w:val="000000"/>
          <w:sz w:val="24"/>
          <w:lang w:eastAsia="en-US" w:bidi="en-US"/>
        </w:rPr>
        <w:t>8 oso</w:t>
      </w:r>
      <w:r w:rsidR="009360EA">
        <w:rPr>
          <w:color w:val="000000"/>
          <w:sz w:val="24"/>
          <w:lang w:eastAsia="en-US" w:bidi="en-US"/>
        </w:rPr>
        <w:t>bowej grupy uczestników na każdą</w:t>
      </w:r>
      <w:r w:rsidR="005608C2">
        <w:rPr>
          <w:color w:val="000000"/>
          <w:sz w:val="24"/>
          <w:lang w:eastAsia="en-US" w:bidi="en-US"/>
        </w:rPr>
        <w:t xml:space="preserve"> edycję.</w:t>
      </w:r>
      <w:r w:rsidRPr="004348BC">
        <w:rPr>
          <w:color w:val="000000"/>
          <w:sz w:val="24"/>
          <w:lang w:eastAsia="en-US" w:bidi="en-US"/>
        </w:rPr>
        <w:t xml:space="preserve"> </w:t>
      </w:r>
    </w:p>
    <w:p w:rsidR="003E020A" w:rsidRPr="004348BC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Po każdej edycji programu należy przeprowadzić badanie ankietowe z uczestnikami mierzące m.in.: przydatność poruszanych treści, sposób prowadzenia zaj</w:t>
      </w:r>
      <w:r w:rsidR="0011010A">
        <w:rPr>
          <w:color w:val="000000"/>
          <w:sz w:val="24"/>
          <w:lang w:eastAsia="en-US" w:bidi="en-US"/>
        </w:rPr>
        <w:t xml:space="preserve">ęć, zgodności z oczekiwaniami. </w:t>
      </w:r>
    </w:p>
    <w:p w:rsidR="003E020A" w:rsidRPr="004348BC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programu zajęcia z rodzicami/opiekunami należy realizow</w:t>
      </w:r>
      <w:r w:rsidR="0011010A">
        <w:rPr>
          <w:color w:val="000000"/>
          <w:sz w:val="24"/>
          <w:lang w:eastAsia="en-US" w:bidi="en-US"/>
        </w:rPr>
        <w:t xml:space="preserve">ać w formie grup </w:t>
      </w:r>
      <w:r w:rsidR="00B30604">
        <w:rPr>
          <w:color w:val="000000"/>
          <w:sz w:val="24"/>
          <w:lang w:eastAsia="en-US" w:bidi="en-US"/>
        </w:rPr>
        <w:t xml:space="preserve">zamkniętych z </w:t>
      </w:r>
      <w:r w:rsidRPr="004348BC">
        <w:rPr>
          <w:color w:val="000000"/>
          <w:sz w:val="24"/>
          <w:lang w:eastAsia="en-US" w:bidi="en-US"/>
        </w:rPr>
        <w:t>usta</w:t>
      </w:r>
      <w:r w:rsidR="00B30604">
        <w:rPr>
          <w:color w:val="000000"/>
          <w:sz w:val="24"/>
          <w:lang w:eastAsia="en-US" w:bidi="en-US"/>
        </w:rPr>
        <w:t xml:space="preserve">loną ilością spotkań dla danej </w:t>
      </w:r>
      <w:r w:rsidRPr="004348BC">
        <w:rPr>
          <w:color w:val="000000"/>
          <w:sz w:val="24"/>
          <w:lang w:eastAsia="en-US" w:bidi="en-US"/>
        </w:rPr>
        <w:t>grupy.</w:t>
      </w:r>
    </w:p>
    <w:p w:rsidR="003E020A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Program należy realizować </w:t>
      </w:r>
      <w:r w:rsidR="0011010A">
        <w:rPr>
          <w:color w:val="000000"/>
          <w:sz w:val="24"/>
          <w:lang w:eastAsia="en-US" w:bidi="en-US"/>
        </w:rPr>
        <w:t xml:space="preserve">w roku </w:t>
      </w:r>
      <w:r w:rsidR="00F11B14">
        <w:rPr>
          <w:color w:val="000000"/>
          <w:sz w:val="24"/>
          <w:lang w:eastAsia="en-US" w:bidi="en-US"/>
        </w:rPr>
        <w:t>2023</w:t>
      </w:r>
      <w:r w:rsidR="00DD2C7E">
        <w:rPr>
          <w:color w:val="000000"/>
          <w:sz w:val="24"/>
          <w:lang w:eastAsia="en-US" w:bidi="en-US"/>
        </w:rPr>
        <w:t xml:space="preserve"> r.</w:t>
      </w:r>
      <w:r w:rsidR="00DE5285">
        <w:rPr>
          <w:color w:val="000000"/>
          <w:sz w:val="24"/>
          <w:lang w:eastAsia="en-US" w:bidi="en-US"/>
        </w:rPr>
        <w:t xml:space="preserve"> na terenie miasta Świnoujście.</w:t>
      </w:r>
    </w:p>
    <w:p w:rsidR="003E020A" w:rsidRPr="00983EA2" w:rsidRDefault="003E020A" w:rsidP="003E020A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W przypadku zakazu zgromadzeń/spotkań, w związku ze </w:t>
      </w:r>
      <w:r w:rsidRPr="005401BA">
        <w:rPr>
          <w:sz w:val="24"/>
          <w:lang w:eastAsia="ar-SA"/>
        </w:rPr>
        <w:t>stan</w:t>
      </w:r>
      <w:r>
        <w:rPr>
          <w:sz w:val="24"/>
          <w:lang w:eastAsia="ar-SA"/>
        </w:rPr>
        <w:t>em</w:t>
      </w:r>
      <w:r w:rsidRPr="005401BA">
        <w:rPr>
          <w:sz w:val="24"/>
          <w:lang w:eastAsia="ar-SA"/>
        </w:rPr>
        <w:t xml:space="preserve"> epidemii związany</w:t>
      </w:r>
      <w:r w:rsidR="0011010A">
        <w:rPr>
          <w:sz w:val="24"/>
          <w:lang w:eastAsia="ar-SA"/>
        </w:rPr>
        <w:t>m z </w:t>
      </w:r>
      <w:r w:rsidRPr="005401BA">
        <w:rPr>
          <w:sz w:val="24"/>
          <w:lang w:eastAsia="ar-SA"/>
        </w:rPr>
        <w:t>występowaniem wirusa SARS-CoV-2</w:t>
      </w:r>
      <w:r>
        <w:rPr>
          <w:sz w:val="24"/>
          <w:lang w:eastAsia="ar-SA"/>
        </w:rPr>
        <w:t>,</w:t>
      </w:r>
      <w:r>
        <w:rPr>
          <w:sz w:val="24"/>
        </w:rPr>
        <w:t xml:space="preserve"> dop</w:t>
      </w:r>
      <w:r w:rsidR="0011010A">
        <w:rPr>
          <w:sz w:val="24"/>
        </w:rPr>
        <w:t xml:space="preserve">uszcza się realizację programu </w:t>
      </w:r>
      <w:r>
        <w:rPr>
          <w:sz w:val="24"/>
        </w:rPr>
        <w:t xml:space="preserve">za pomocą środków komunikacji zdalnej. </w:t>
      </w:r>
    </w:p>
    <w:p w:rsidR="007A5103" w:rsidRDefault="007A5103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2E4E90" w:rsidRPr="004348BC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lastRenderedPageBreak/>
        <w:t>Szczegółowe warunki realizacji zadania nr 2:</w:t>
      </w:r>
    </w:p>
    <w:p w:rsidR="009E29D2" w:rsidRPr="004348BC" w:rsidRDefault="009E29D2" w:rsidP="009E29D2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adresowany do dzieci</w:t>
      </w:r>
      <w:r w:rsidRPr="004348BC">
        <w:rPr>
          <w:color w:val="000000"/>
          <w:sz w:val="24"/>
          <w:lang w:eastAsia="en-US" w:bidi="en-US"/>
        </w:rPr>
        <w:t>/młodzieży z ter</w:t>
      </w:r>
      <w:r>
        <w:rPr>
          <w:color w:val="000000"/>
          <w:sz w:val="24"/>
          <w:lang w:eastAsia="en-US" w:bidi="en-US"/>
        </w:rPr>
        <w:t xml:space="preserve">enu miasta Świnoujście w wieku </w:t>
      </w:r>
      <w:r w:rsidRPr="004348BC">
        <w:rPr>
          <w:color w:val="000000"/>
          <w:sz w:val="24"/>
          <w:lang w:eastAsia="en-US" w:bidi="en-US"/>
        </w:rPr>
        <w:t>12-18 lat, zagrożonych wykluczeniem społecznym (ze środowiska szkolnego), ze szczególnym uwzględnieniem dzieci i młodzieży</w:t>
      </w:r>
      <w:r>
        <w:rPr>
          <w:color w:val="000000"/>
          <w:sz w:val="24"/>
          <w:lang w:eastAsia="en-US" w:bidi="en-US"/>
        </w:rPr>
        <w:t>,</w:t>
      </w:r>
      <w:r w:rsidRPr="004348BC">
        <w:rPr>
          <w:color w:val="000000"/>
          <w:sz w:val="24"/>
          <w:lang w:eastAsia="en-US" w:bidi="en-US"/>
        </w:rPr>
        <w:t xml:space="preserve"> które mogą wymagać </w:t>
      </w:r>
      <w:r>
        <w:rPr>
          <w:sz w:val="24"/>
        </w:rPr>
        <w:t xml:space="preserve">nauczania indywidualnego bądź </w:t>
      </w:r>
      <w:r w:rsidRPr="004348BC">
        <w:rPr>
          <w:sz w:val="24"/>
        </w:rPr>
        <w:t>są objęte nauczaniem indywidualnym/zindywidualizowaną ścieżką nauczania.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ramach realizacji programu należy przeprowadzić terapeutyczne zajęcia grupo</w:t>
      </w:r>
      <w:r>
        <w:rPr>
          <w:color w:val="000000"/>
          <w:sz w:val="24"/>
          <w:lang w:eastAsia="en-US" w:bidi="en-US"/>
        </w:rPr>
        <w:t xml:space="preserve">we z młodzieżą oraz spotkania </w:t>
      </w:r>
      <w:r w:rsidRPr="004348BC">
        <w:rPr>
          <w:color w:val="000000"/>
          <w:sz w:val="24"/>
          <w:lang w:eastAsia="en-US" w:bidi="en-US"/>
        </w:rPr>
        <w:t>indywidualne/grupowe dla rodziców. Grupy powinny mieć charakter zamknięty z ustaloną ilością spotkań.</w:t>
      </w:r>
      <w:r>
        <w:rPr>
          <w:color w:val="000000"/>
          <w:sz w:val="24"/>
          <w:lang w:eastAsia="en-US" w:bidi="en-US"/>
        </w:rPr>
        <w:t xml:space="preserve"> Uczestnicy wchodzący w skład danej grupy powinni być podobni wiekiem.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Program powin</w:t>
      </w:r>
      <w:r w:rsidR="00C51A8A">
        <w:rPr>
          <w:color w:val="000000"/>
          <w:sz w:val="24"/>
          <w:lang w:eastAsia="en-US" w:bidi="en-US"/>
        </w:rPr>
        <w:t>ien składać się z min.</w:t>
      </w:r>
      <w:r w:rsidR="005608C2">
        <w:rPr>
          <w:color w:val="000000"/>
          <w:sz w:val="24"/>
          <w:lang w:eastAsia="en-US" w:bidi="en-US"/>
        </w:rPr>
        <w:t xml:space="preserve"> </w:t>
      </w:r>
      <w:r w:rsidR="00C51A8A">
        <w:rPr>
          <w:color w:val="000000"/>
          <w:sz w:val="24"/>
          <w:lang w:eastAsia="en-US" w:bidi="en-US"/>
        </w:rPr>
        <w:t xml:space="preserve">4 </w:t>
      </w:r>
      <w:r>
        <w:rPr>
          <w:color w:val="000000"/>
          <w:sz w:val="24"/>
          <w:lang w:eastAsia="en-US" w:bidi="en-US"/>
        </w:rPr>
        <w:t>edycji.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Realizacja programu rozp</w:t>
      </w:r>
      <w:r>
        <w:rPr>
          <w:color w:val="000000"/>
          <w:sz w:val="24"/>
          <w:lang w:eastAsia="en-US" w:bidi="en-US"/>
        </w:rPr>
        <w:t xml:space="preserve">ocznie się w momencie zebrania </w:t>
      </w:r>
      <w:r w:rsidRPr="004348BC">
        <w:rPr>
          <w:color w:val="000000"/>
          <w:sz w:val="24"/>
          <w:lang w:eastAsia="en-US" w:bidi="en-US"/>
        </w:rPr>
        <w:t xml:space="preserve">min. 8 osobowej grupy </w:t>
      </w:r>
      <w:r>
        <w:rPr>
          <w:color w:val="000000"/>
          <w:sz w:val="24"/>
          <w:lang w:eastAsia="en-US" w:bidi="en-US"/>
        </w:rPr>
        <w:t>dzieci/</w:t>
      </w:r>
      <w:r w:rsidR="005608C2">
        <w:rPr>
          <w:color w:val="000000"/>
          <w:sz w:val="24"/>
          <w:lang w:eastAsia="en-US" w:bidi="en-US"/>
        </w:rPr>
        <w:t>młodzieży na każdą edycję.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W ramach realizacji programu </w:t>
      </w:r>
      <w:r w:rsidRPr="004348BC">
        <w:rPr>
          <w:color w:val="000000"/>
          <w:sz w:val="24"/>
          <w:lang w:eastAsia="en-US" w:bidi="en-US"/>
        </w:rPr>
        <w:t>można zapewnić konsultacje m</w:t>
      </w:r>
      <w:r>
        <w:rPr>
          <w:color w:val="000000"/>
          <w:sz w:val="24"/>
          <w:lang w:eastAsia="en-US" w:bidi="en-US"/>
        </w:rPr>
        <w:t>edyczne uczestników z lekarzem</w:t>
      </w:r>
      <w:r w:rsidRPr="004348BC">
        <w:rPr>
          <w:color w:val="000000"/>
          <w:sz w:val="24"/>
          <w:lang w:eastAsia="en-US" w:bidi="en-US"/>
        </w:rPr>
        <w:t xml:space="preserve"> psychiatrą. 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W celu prawidłowego wykonania zadania w tym naboru uczestników realizator podejmie współpracę z placówkami oświatowymi, kuratorami sądowymi, pracownikami Miejskiego Ośrodka</w:t>
      </w:r>
      <w:r>
        <w:rPr>
          <w:color w:val="000000"/>
          <w:sz w:val="24"/>
          <w:lang w:eastAsia="en-US" w:bidi="en-US"/>
        </w:rPr>
        <w:t xml:space="preserve"> Pomocy Rodzinie, pracownikami </w:t>
      </w:r>
      <w:r w:rsidRPr="004348BC">
        <w:rPr>
          <w:color w:val="000000"/>
          <w:sz w:val="24"/>
          <w:lang w:eastAsia="en-US" w:bidi="en-US"/>
        </w:rPr>
        <w:t>Poradni Psychologicz</w:t>
      </w:r>
      <w:r>
        <w:rPr>
          <w:color w:val="000000"/>
          <w:sz w:val="24"/>
          <w:lang w:eastAsia="en-US" w:bidi="en-US"/>
        </w:rPr>
        <w:t>no</w:t>
      </w:r>
      <w:r w:rsidRPr="004348BC">
        <w:rPr>
          <w:color w:val="000000"/>
          <w:sz w:val="24"/>
          <w:lang w:eastAsia="en-US" w:bidi="en-US"/>
        </w:rPr>
        <w:t>–Pedagogicznej.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Po każdej edycji programu należy przeprowadzić badanie ankietowe z uczestnikami, ich rodzicami/opiekunami i nauczycielami. Celem badań ankietowych jest zebranie danych m.in. na temat obniżenia lęku przed ekspozycją społeczną uczestników. </w:t>
      </w:r>
    </w:p>
    <w:p w:rsidR="009E29D2" w:rsidRPr="004348BC" w:rsidRDefault="009E29D2" w:rsidP="009E29D2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należy realizować</w:t>
      </w:r>
      <w:r w:rsidRPr="004348BC">
        <w:rPr>
          <w:color w:val="000000"/>
          <w:sz w:val="24"/>
          <w:lang w:eastAsia="en-US" w:bidi="en-US"/>
        </w:rPr>
        <w:t xml:space="preserve"> </w:t>
      </w:r>
      <w:r w:rsidR="00F11B14">
        <w:rPr>
          <w:color w:val="000000"/>
          <w:sz w:val="24"/>
          <w:lang w:eastAsia="en-US" w:bidi="en-US"/>
        </w:rPr>
        <w:t>w roku 2023</w:t>
      </w:r>
      <w:r>
        <w:rPr>
          <w:color w:val="000000"/>
          <w:sz w:val="24"/>
          <w:lang w:eastAsia="en-US" w:bidi="en-US"/>
        </w:rPr>
        <w:t xml:space="preserve"> r. </w:t>
      </w:r>
      <w:r w:rsidR="00DE5285">
        <w:rPr>
          <w:color w:val="000000"/>
          <w:sz w:val="24"/>
          <w:lang w:eastAsia="en-US" w:bidi="en-US"/>
        </w:rPr>
        <w:t>na terenie miasta Świnoujście.</w:t>
      </w:r>
    </w:p>
    <w:p w:rsidR="009E29D2" w:rsidRDefault="009E29D2" w:rsidP="009E29D2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 w:rsidRPr="004348BC">
        <w:rPr>
          <w:sz w:val="24"/>
        </w:rPr>
        <w:t>Przed nawiązaniem z członkami kadry stosunku pracy lub przed dopuszczeniem ich do działalności związanej z pracą z małoletnimi, oferent jest zobowiązany do uzyskania informacji, czy dane tych osób nie są zamieszczone w Rejestrze Sprawców na Tle Seksualnym.</w:t>
      </w:r>
    </w:p>
    <w:p w:rsidR="009E29D2" w:rsidRPr="00FA487B" w:rsidRDefault="009E29D2" w:rsidP="009E29D2">
      <w:pPr>
        <w:pStyle w:val="Akapitzlist"/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lang w:bidi="pl-PL"/>
        </w:rPr>
      </w:pPr>
      <w:r>
        <w:rPr>
          <w:sz w:val="24"/>
          <w:lang w:eastAsia="ar-SA"/>
        </w:rPr>
        <w:t>W</w:t>
      </w:r>
      <w:r w:rsidRPr="00F66EB4">
        <w:rPr>
          <w:sz w:val="24"/>
          <w:lang w:eastAsia="ar-SA"/>
        </w:rPr>
        <w:t xml:space="preserve"> przypadku zawieszenia zajęć dydaktyczno-wy</w:t>
      </w:r>
      <w:r w:rsidR="00552C3A">
        <w:rPr>
          <w:sz w:val="24"/>
          <w:lang w:eastAsia="ar-SA"/>
        </w:rPr>
        <w:t>chowawczych w szkołach w wyniku</w:t>
      </w:r>
      <w:r w:rsidRPr="00F66EB4">
        <w:rPr>
          <w:sz w:val="24"/>
          <w:lang w:eastAsia="ar-SA"/>
        </w:rPr>
        <w:t xml:space="preserve"> stanu epidemii związanej z rozprzestrzenianiem się koronawirusa SARS–CoV-2 </w:t>
      </w:r>
      <w:r>
        <w:rPr>
          <w:sz w:val="24"/>
          <w:lang w:eastAsia="ar-SA"/>
        </w:rPr>
        <w:t>dopuszcza się możliwość</w:t>
      </w:r>
      <w:r w:rsidRPr="00F66EB4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przeprowadzenia</w:t>
      </w:r>
      <w:r w:rsidRPr="00F66EB4">
        <w:rPr>
          <w:sz w:val="24"/>
          <w:lang w:eastAsia="ar-SA"/>
        </w:rPr>
        <w:t xml:space="preserve"> zaję</w:t>
      </w:r>
      <w:r>
        <w:rPr>
          <w:sz w:val="24"/>
          <w:lang w:eastAsia="ar-SA"/>
        </w:rPr>
        <w:t>ć</w:t>
      </w:r>
      <w:r w:rsidRPr="00F66EB4">
        <w:rPr>
          <w:sz w:val="24"/>
          <w:lang w:eastAsia="ar-SA"/>
        </w:rPr>
        <w:t xml:space="preserve"> w formie </w:t>
      </w:r>
      <w:r>
        <w:rPr>
          <w:sz w:val="24"/>
          <w:lang w:eastAsia="ar-SA"/>
        </w:rPr>
        <w:t>komunikacji zdalnej.</w:t>
      </w:r>
      <w:r w:rsidRPr="00F66EB4">
        <w:rPr>
          <w:sz w:val="24"/>
          <w:lang w:eastAsia="ar-SA"/>
        </w:rPr>
        <w:t xml:space="preserve">  </w:t>
      </w:r>
    </w:p>
    <w:p w:rsidR="00EC3002" w:rsidRDefault="00EC3002" w:rsidP="005B6041">
      <w:pPr>
        <w:spacing w:after="0" w:line="240" w:lineRule="auto"/>
        <w:jc w:val="both"/>
        <w:rPr>
          <w:b/>
          <w:sz w:val="24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4C0529">
        <w:rPr>
          <w:rStyle w:val="citation-line"/>
          <w:sz w:val="24"/>
        </w:rPr>
        <w:t>2022 r. poz. 931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lastRenderedPageBreak/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A002F0" w:rsidRDefault="001A516E" w:rsidP="00A002F0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627062">
        <w:rPr>
          <w:rStyle w:val="citation-line"/>
          <w:sz w:val="24"/>
        </w:rPr>
        <w:t xml:space="preserve"> z 2022</w:t>
      </w:r>
      <w:r w:rsidR="00802646">
        <w:rPr>
          <w:rStyle w:val="citation-line"/>
          <w:sz w:val="24"/>
        </w:rPr>
        <w:t xml:space="preserve"> r. poz. </w:t>
      </w:r>
      <w:r w:rsidR="00627062">
        <w:rPr>
          <w:rStyle w:val="citation-line"/>
          <w:sz w:val="24"/>
        </w:rPr>
        <w:t>931</w:t>
      </w:r>
      <w:r w:rsidR="0087218E">
        <w:rPr>
          <w:rStyle w:val="citation-line"/>
          <w:sz w:val="24"/>
        </w:rPr>
        <w:t xml:space="preserve"> z późn.zm.)</w:t>
      </w:r>
      <w:r w:rsidRPr="004348BC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7B2899">
        <w:rPr>
          <w:color w:val="000000"/>
          <w:sz w:val="24"/>
          <w:lang w:eastAsia="en-US" w:bidi="en-US"/>
        </w:rPr>
        <w:t xml:space="preserve">  17</w:t>
      </w:r>
      <w:r w:rsidR="00921F55">
        <w:rPr>
          <w:color w:val="000000"/>
          <w:sz w:val="24"/>
          <w:lang w:eastAsia="en-US" w:bidi="en-US"/>
        </w:rPr>
        <w:t>/2023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7B2899">
        <w:rPr>
          <w:color w:val="000000"/>
          <w:sz w:val="24"/>
          <w:lang w:eastAsia="en-US" w:bidi="en-US"/>
        </w:rPr>
        <w:t>9</w:t>
      </w:r>
      <w:r w:rsidR="00921F55">
        <w:rPr>
          <w:color w:val="000000"/>
          <w:sz w:val="24"/>
          <w:lang w:eastAsia="en-US" w:bidi="en-US"/>
        </w:rPr>
        <w:t xml:space="preserve"> stycznia 2023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E54CDD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D32B6A">
        <w:rPr>
          <w:rFonts w:eastAsia="Lucida Sans Unicode"/>
          <w:color w:val="000000"/>
          <w:sz w:val="24"/>
          <w:lang w:eastAsia="en-US" w:bidi="en-US"/>
        </w:rPr>
        <w:t>zakresu rzeczowego zadania</w:t>
      </w:r>
      <w:r w:rsidR="007422CA">
        <w:rPr>
          <w:rFonts w:eastAsia="Lucida Sans Unicode"/>
          <w:color w:val="000000"/>
          <w:sz w:val="24"/>
          <w:lang w:eastAsia="en-US" w:bidi="en-US"/>
        </w:rPr>
        <w:t xml:space="preserve"> do 2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jakość wykonania zadania i kwalifikacje os</w:t>
      </w:r>
      <w:r w:rsidR="00D32B6A">
        <w:rPr>
          <w:rFonts w:eastAsia="Lucida Sans Unicode"/>
          <w:color w:val="000000"/>
          <w:sz w:val="24"/>
          <w:lang w:eastAsia="en-US" w:bidi="en-US"/>
        </w:rPr>
        <w:t xml:space="preserve">ób realizujących zadanie do 30 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punktów, </w:t>
      </w:r>
    </w:p>
    <w:p w:rsidR="00E54CDD" w:rsidRDefault="005A3C3B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program rekomendowany</w:t>
      </w:r>
      <w:r w:rsidRPr="004348BC">
        <w:rPr>
          <w:color w:val="000000"/>
          <w:sz w:val="24"/>
          <w:lang w:eastAsia="en-US" w:bidi="en-US"/>
        </w:rPr>
        <w:t xml:space="preserve"> </w:t>
      </w:r>
      <w:r w:rsidRPr="004348BC">
        <w:rPr>
          <w:sz w:val="24"/>
        </w:rPr>
        <w:t xml:space="preserve">w ramach Systemu rekomendacji programów profilaktycznych i promocji zdrowia </w:t>
      </w:r>
      <w:r w:rsidR="00FE78BD">
        <w:rPr>
          <w:sz w:val="24"/>
        </w:rPr>
        <w:t xml:space="preserve">do </w:t>
      </w:r>
      <w:r w:rsidR="004C6E0A">
        <w:rPr>
          <w:sz w:val="24"/>
        </w:rPr>
        <w:t xml:space="preserve">10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</w:t>
      </w:r>
      <w:r w:rsidR="00D32B6A">
        <w:rPr>
          <w:rFonts w:eastAsia="Lucida Sans Unicode"/>
          <w:color w:val="000000"/>
          <w:sz w:val="24"/>
          <w:lang w:eastAsia="en-US" w:bidi="en-US"/>
        </w:rPr>
        <w:t>anie publiczne biorąc pod uwagę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rzetelność, </w:t>
      </w:r>
      <w:r w:rsidRPr="004348BC">
        <w:rPr>
          <w:rFonts w:eastAsia="Lucida Sans Unicode"/>
          <w:color w:val="000000"/>
          <w:sz w:val="24"/>
          <w:lang w:eastAsia="en-US" w:bidi="en-US"/>
        </w:rPr>
        <w:lastRenderedPageBreak/>
        <w:t>terminowość oraz sposób rozli</w:t>
      </w:r>
      <w:r w:rsidR="001930B1">
        <w:rPr>
          <w:rFonts w:eastAsia="Lucida Sans Unicode"/>
          <w:color w:val="000000"/>
          <w:sz w:val="24"/>
          <w:lang w:eastAsia="en-US" w:bidi="en-US"/>
        </w:rPr>
        <w:t>czenia</w:t>
      </w:r>
      <w:r w:rsidR="005F7D05">
        <w:rPr>
          <w:rFonts w:eastAsia="Lucida Sans Unicode"/>
          <w:color w:val="000000"/>
          <w:sz w:val="24"/>
          <w:lang w:eastAsia="en-US" w:bidi="en-US"/>
        </w:rPr>
        <w:t xml:space="preserve">/wydatkowania </w:t>
      </w:r>
      <w:r w:rsidR="001930B1">
        <w:rPr>
          <w:rFonts w:eastAsia="Lucida Sans Unicode"/>
          <w:color w:val="000000"/>
          <w:sz w:val="24"/>
          <w:lang w:eastAsia="en-US" w:bidi="en-US"/>
        </w:rPr>
        <w:t>otrzymanych środków do 10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punktów. 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Pr="004348BC">
        <w:rPr>
          <w:color w:val="000000"/>
          <w:sz w:val="24"/>
          <w:lang w:eastAsia="en-US" w:bidi="en-US"/>
        </w:rPr>
        <w:t>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 Konkurs ofert zostaje unieważniony jeżeli:</w:t>
      </w:r>
    </w:p>
    <w:p w:rsidR="004C7E08" w:rsidRPr="004348BC" w:rsidRDefault="00EB7874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nie złożono żadnej oferty;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C96450">
        <w:rPr>
          <w:b/>
          <w:bCs/>
          <w:color w:val="000000"/>
          <w:sz w:val="24"/>
          <w:lang w:eastAsia="en-US" w:bidi="en-US"/>
        </w:rPr>
        <w:t xml:space="preserve"> 27</w:t>
      </w:r>
      <w:r w:rsidR="00921F55">
        <w:rPr>
          <w:b/>
          <w:bCs/>
          <w:color w:val="000000"/>
          <w:sz w:val="24"/>
          <w:lang w:eastAsia="en-US" w:bidi="en-US"/>
        </w:rPr>
        <w:t xml:space="preserve">  </w:t>
      </w:r>
      <w:r w:rsidR="009B221B">
        <w:rPr>
          <w:b/>
          <w:bCs/>
          <w:color w:val="000000"/>
          <w:sz w:val="24"/>
          <w:lang w:eastAsia="en-US" w:bidi="en-US"/>
        </w:rPr>
        <w:t xml:space="preserve">stycznia </w:t>
      </w:r>
      <w:r w:rsidR="00921F55">
        <w:rPr>
          <w:b/>
          <w:bCs/>
          <w:color w:val="000000"/>
          <w:sz w:val="24"/>
          <w:lang w:eastAsia="en-US" w:bidi="en-US"/>
        </w:rPr>
        <w:t>2023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7B2899">
        <w:rPr>
          <w:color w:val="000000"/>
          <w:sz w:val="24"/>
          <w:lang w:eastAsia="en-US" w:bidi="en-US"/>
        </w:rPr>
        <w:t>17</w:t>
      </w:r>
      <w:r w:rsidR="00921F55">
        <w:rPr>
          <w:color w:val="000000"/>
          <w:sz w:val="24"/>
          <w:lang w:eastAsia="en-US" w:bidi="en-US"/>
        </w:rPr>
        <w:t xml:space="preserve"> /2023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EB7874">
        <w:rPr>
          <w:color w:val="000000"/>
          <w:sz w:val="24"/>
          <w:lang w:eastAsia="en-US" w:bidi="en-US"/>
        </w:rPr>
        <w:t xml:space="preserve"> </w:t>
      </w:r>
      <w:r w:rsidR="007B2899">
        <w:rPr>
          <w:color w:val="000000"/>
          <w:sz w:val="24"/>
          <w:lang w:eastAsia="en-US" w:bidi="en-US"/>
        </w:rPr>
        <w:t>9</w:t>
      </w:r>
      <w:bookmarkStart w:id="0" w:name="_GoBack"/>
      <w:bookmarkEnd w:id="0"/>
      <w:r w:rsidR="004E4030">
        <w:rPr>
          <w:color w:val="000000"/>
          <w:sz w:val="24"/>
          <w:lang w:eastAsia="en-US" w:bidi="en-US"/>
        </w:rPr>
        <w:t xml:space="preserve"> stycznia</w:t>
      </w:r>
      <w:r w:rsidR="00921F55">
        <w:rPr>
          <w:color w:val="000000"/>
          <w:sz w:val="24"/>
          <w:lang w:eastAsia="en-US" w:bidi="en-US"/>
        </w:rPr>
        <w:t xml:space="preserve"> 2023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="009B221B">
        <w:rPr>
          <w:sz w:val="24"/>
        </w:rPr>
        <w:t xml:space="preserve"> dni </w:t>
      </w:r>
      <w:r w:rsidRPr="004348BC">
        <w:rPr>
          <w:sz w:val="24"/>
        </w:rPr>
        <w:t>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BC270A" w:rsidRPr="004348BC" w:rsidRDefault="00BC270A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E13FFE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lastRenderedPageBreak/>
        <w:t>Wniesienie odwołania wstrzymuje dalsze czynno</w:t>
      </w:r>
      <w:r w:rsidR="00E13FFE">
        <w:rPr>
          <w:sz w:val="24"/>
        </w:rPr>
        <w:t>ści związane z zawarciem umów z </w:t>
      </w:r>
      <w:r w:rsidRPr="00AA4931">
        <w:rPr>
          <w:sz w:val="24"/>
        </w:rPr>
        <w:t xml:space="preserve">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Pr="00AA4931">
        <w:rPr>
          <w:sz w:val="24"/>
        </w:rPr>
        <w:t xml:space="preserve">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DE3466">
        <w:rPr>
          <w:color w:val="000000"/>
          <w:sz w:val="24"/>
          <w:lang w:eastAsia="en-US" w:bidi="en-US"/>
        </w:rPr>
        <w:t xml:space="preserve"> Świnoujście.</w:t>
      </w:r>
      <w:r w:rsidR="00E13FFE">
        <w:rPr>
          <w:color w:val="000000"/>
          <w:sz w:val="24"/>
          <w:lang w:eastAsia="en-US" w:bidi="en-US"/>
        </w:rPr>
        <w:t xml:space="preserve"> 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Pr="004348BC">
        <w:rPr>
          <w:sz w:val="24"/>
        </w:rPr>
        <w:t xml:space="preserve">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C15D0" w:rsidRPr="00C81BAE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7E4B6B">
        <w:rPr>
          <w:rFonts w:eastAsiaTheme="minorHAnsi"/>
          <w:color w:val="auto"/>
          <w:lang w:val="pl-PL"/>
        </w:rPr>
        <w:t>zapoznał się</w:t>
      </w:r>
      <w:r w:rsidR="006624B3">
        <w:rPr>
          <w:rFonts w:eastAsiaTheme="minorHAnsi"/>
          <w:color w:val="auto"/>
          <w:lang w:val="pl-PL"/>
        </w:rPr>
        <w:t xml:space="preserve"> i </w:t>
      </w:r>
      <w:r w:rsidRPr="000263BA">
        <w:rPr>
          <w:rFonts w:eastAsiaTheme="minorHAnsi"/>
          <w:color w:val="auto"/>
          <w:lang w:val="pl-PL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7E4B6B">
        <w:rPr>
          <w:rFonts w:eastAsiaTheme="minorHAnsi"/>
          <w:color w:val="auto"/>
          <w:lang w:val="pl-PL"/>
        </w:rPr>
        <w:t xml:space="preserve">asta Świnoujście (dostępna na: </w:t>
      </w:r>
      <w:hyperlink r:id="rId12" w:history="1">
        <w:r w:rsidR="00C81BAE" w:rsidRPr="005A4FF3">
          <w:rPr>
            <w:rStyle w:val="Hipercze"/>
            <w:rFonts w:eastAsiaTheme="minorHAnsi"/>
            <w:lang w:val="pl-PL"/>
          </w:rPr>
          <w:t>www.bip.um.swinoujscie.pl</w:t>
        </w:r>
      </w:hyperlink>
      <w:r w:rsidRPr="000263BA">
        <w:rPr>
          <w:rFonts w:eastAsiaTheme="minorHAnsi"/>
          <w:color w:val="auto"/>
          <w:lang w:val="pl-PL"/>
        </w:rPr>
        <w:t xml:space="preserve">). </w:t>
      </w:r>
    </w:p>
    <w:p w:rsidR="00C81BAE" w:rsidRPr="000263BA" w:rsidRDefault="00C81BAE" w:rsidP="00C81BAE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0263BA">
        <w:rPr>
          <w:sz w:val="24"/>
        </w:rPr>
        <w:t>Aktualny odpis z odpowiedniego rejestru lub inne dokumenty informujące o statusie prawnym podmiotu składającego ofertę i umocowanie osób go reprezentujących.</w:t>
      </w: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4C0529">
        <w:rPr>
          <w:lang w:val="pl-PL" w:eastAsia="ar-SA"/>
        </w:rPr>
        <w:t>(Dz. U. z 2022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4C0529">
        <w:rPr>
          <w:lang w:val="pl-PL" w:eastAsia="ar-SA"/>
        </w:rPr>
        <w:t xml:space="preserve"> 1608 ze zm.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3" w15:restartNumberingAfterBreak="0">
    <w:nsid w:val="6E72590A"/>
    <w:multiLevelType w:val="hybridMultilevel"/>
    <w:tmpl w:val="265A8E9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6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6"/>
  </w:num>
  <w:num w:numId="5">
    <w:abstractNumId w:val="34"/>
  </w:num>
  <w:num w:numId="6">
    <w:abstractNumId w:val="10"/>
  </w:num>
  <w:num w:numId="7">
    <w:abstractNumId w:val="16"/>
  </w:num>
  <w:num w:numId="8">
    <w:abstractNumId w:val="32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5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110AF"/>
    <w:rsid w:val="000234FA"/>
    <w:rsid w:val="000263BA"/>
    <w:rsid w:val="00034F76"/>
    <w:rsid w:val="00050DFF"/>
    <w:rsid w:val="00056EAD"/>
    <w:rsid w:val="00061959"/>
    <w:rsid w:val="00064633"/>
    <w:rsid w:val="000651C2"/>
    <w:rsid w:val="00075F1A"/>
    <w:rsid w:val="00080E38"/>
    <w:rsid w:val="0008629C"/>
    <w:rsid w:val="000B7CC3"/>
    <w:rsid w:val="000C2F36"/>
    <w:rsid w:val="000C3DB5"/>
    <w:rsid w:val="000C4EBB"/>
    <w:rsid w:val="000C50D5"/>
    <w:rsid w:val="000D0B27"/>
    <w:rsid w:val="000D28CA"/>
    <w:rsid w:val="000D2A56"/>
    <w:rsid w:val="000F0B09"/>
    <w:rsid w:val="00102197"/>
    <w:rsid w:val="0011010A"/>
    <w:rsid w:val="00110A5F"/>
    <w:rsid w:val="001176E7"/>
    <w:rsid w:val="00122D06"/>
    <w:rsid w:val="00134690"/>
    <w:rsid w:val="001348E6"/>
    <w:rsid w:val="00136310"/>
    <w:rsid w:val="00140021"/>
    <w:rsid w:val="00142503"/>
    <w:rsid w:val="00145C76"/>
    <w:rsid w:val="00145D58"/>
    <w:rsid w:val="00172F89"/>
    <w:rsid w:val="00173BA2"/>
    <w:rsid w:val="001779A5"/>
    <w:rsid w:val="001826CB"/>
    <w:rsid w:val="00184E5E"/>
    <w:rsid w:val="00193010"/>
    <w:rsid w:val="001930B1"/>
    <w:rsid w:val="001A051D"/>
    <w:rsid w:val="001A516E"/>
    <w:rsid w:val="001A63AC"/>
    <w:rsid w:val="001A6634"/>
    <w:rsid w:val="001A7C4B"/>
    <w:rsid w:val="001C3B83"/>
    <w:rsid w:val="001D5EE2"/>
    <w:rsid w:val="001D6113"/>
    <w:rsid w:val="001D6902"/>
    <w:rsid w:val="001E7818"/>
    <w:rsid w:val="001F4810"/>
    <w:rsid w:val="001F488A"/>
    <w:rsid w:val="00200C73"/>
    <w:rsid w:val="0020162E"/>
    <w:rsid w:val="00216DCF"/>
    <w:rsid w:val="00225EC4"/>
    <w:rsid w:val="002368EB"/>
    <w:rsid w:val="00236C42"/>
    <w:rsid w:val="00236D12"/>
    <w:rsid w:val="00243F32"/>
    <w:rsid w:val="00246F03"/>
    <w:rsid w:val="002478B1"/>
    <w:rsid w:val="002479BA"/>
    <w:rsid w:val="00251E43"/>
    <w:rsid w:val="002574FE"/>
    <w:rsid w:val="002652F8"/>
    <w:rsid w:val="002849F1"/>
    <w:rsid w:val="00285A3C"/>
    <w:rsid w:val="00290193"/>
    <w:rsid w:val="002A109F"/>
    <w:rsid w:val="002A469C"/>
    <w:rsid w:val="002B15F6"/>
    <w:rsid w:val="002B3C3E"/>
    <w:rsid w:val="002B6723"/>
    <w:rsid w:val="002C0109"/>
    <w:rsid w:val="002C15D0"/>
    <w:rsid w:val="002C45A2"/>
    <w:rsid w:val="002D10CE"/>
    <w:rsid w:val="002E4E90"/>
    <w:rsid w:val="002E6D73"/>
    <w:rsid w:val="002E778B"/>
    <w:rsid w:val="002F632C"/>
    <w:rsid w:val="003056C5"/>
    <w:rsid w:val="00312C54"/>
    <w:rsid w:val="003207FA"/>
    <w:rsid w:val="00325653"/>
    <w:rsid w:val="00325838"/>
    <w:rsid w:val="003270BE"/>
    <w:rsid w:val="00337D00"/>
    <w:rsid w:val="00340899"/>
    <w:rsid w:val="00361621"/>
    <w:rsid w:val="00376FB4"/>
    <w:rsid w:val="0037766B"/>
    <w:rsid w:val="0038262B"/>
    <w:rsid w:val="003840C8"/>
    <w:rsid w:val="00385B00"/>
    <w:rsid w:val="003873A5"/>
    <w:rsid w:val="0039020E"/>
    <w:rsid w:val="003935C8"/>
    <w:rsid w:val="003A10FB"/>
    <w:rsid w:val="003A457F"/>
    <w:rsid w:val="003B23A7"/>
    <w:rsid w:val="003B71CF"/>
    <w:rsid w:val="003B743F"/>
    <w:rsid w:val="003C7243"/>
    <w:rsid w:val="003D0AB3"/>
    <w:rsid w:val="003D1BDC"/>
    <w:rsid w:val="003D64D0"/>
    <w:rsid w:val="003E020A"/>
    <w:rsid w:val="003E0CEB"/>
    <w:rsid w:val="003E1AC1"/>
    <w:rsid w:val="003E2DD1"/>
    <w:rsid w:val="003E3EDC"/>
    <w:rsid w:val="003E40D1"/>
    <w:rsid w:val="003E6ABC"/>
    <w:rsid w:val="003F27C5"/>
    <w:rsid w:val="003F5587"/>
    <w:rsid w:val="00402DF3"/>
    <w:rsid w:val="00413552"/>
    <w:rsid w:val="0041690B"/>
    <w:rsid w:val="004220D8"/>
    <w:rsid w:val="00422788"/>
    <w:rsid w:val="00423B65"/>
    <w:rsid w:val="00432ED2"/>
    <w:rsid w:val="004346B5"/>
    <w:rsid w:val="004348BC"/>
    <w:rsid w:val="00436252"/>
    <w:rsid w:val="0044351F"/>
    <w:rsid w:val="00445525"/>
    <w:rsid w:val="00446ADD"/>
    <w:rsid w:val="00455F03"/>
    <w:rsid w:val="004565D6"/>
    <w:rsid w:val="00457C16"/>
    <w:rsid w:val="00460A7D"/>
    <w:rsid w:val="00464815"/>
    <w:rsid w:val="004659BB"/>
    <w:rsid w:val="00473981"/>
    <w:rsid w:val="004873D8"/>
    <w:rsid w:val="004A23F7"/>
    <w:rsid w:val="004A69D5"/>
    <w:rsid w:val="004B39F7"/>
    <w:rsid w:val="004B47A0"/>
    <w:rsid w:val="004B57AE"/>
    <w:rsid w:val="004C0529"/>
    <w:rsid w:val="004C0B2F"/>
    <w:rsid w:val="004C5F13"/>
    <w:rsid w:val="004C6E0A"/>
    <w:rsid w:val="004C7E08"/>
    <w:rsid w:val="004D1F51"/>
    <w:rsid w:val="004D2FA1"/>
    <w:rsid w:val="004D46D3"/>
    <w:rsid w:val="004E4030"/>
    <w:rsid w:val="004E4D85"/>
    <w:rsid w:val="004F3E02"/>
    <w:rsid w:val="004F5B8E"/>
    <w:rsid w:val="00500093"/>
    <w:rsid w:val="0050385F"/>
    <w:rsid w:val="00520703"/>
    <w:rsid w:val="00530036"/>
    <w:rsid w:val="0053257B"/>
    <w:rsid w:val="00540592"/>
    <w:rsid w:val="00545E73"/>
    <w:rsid w:val="00547D24"/>
    <w:rsid w:val="0055076F"/>
    <w:rsid w:val="00552C3A"/>
    <w:rsid w:val="00553575"/>
    <w:rsid w:val="005608C2"/>
    <w:rsid w:val="00562076"/>
    <w:rsid w:val="00575723"/>
    <w:rsid w:val="00577EA3"/>
    <w:rsid w:val="00580DA7"/>
    <w:rsid w:val="00582555"/>
    <w:rsid w:val="005839CA"/>
    <w:rsid w:val="0058602F"/>
    <w:rsid w:val="00592D98"/>
    <w:rsid w:val="005A02F8"/>
    <w:rsid w:val="005A3C3B"/>
    <w:rsid w:val="005B3BE7"/>
    <w:rsid w:val="005B4240"/>
    <w:rsid w:val="005B6041"/>
    <w:rsid w:val="005C406F"/>
    <w:rsid w:val="005C44AF"/>
    <w:rsid w:val="005C5B90"/>
    <w:rsid w:val="005C6C0C"/>
    <w:rsid w:val="005E7D93"/>
    <w:rsid w:val="005F1093"/>
    <w:rsid w:val="005F135D"/>
    <w:rsid w:val="005F18E4"/>
    <w:rsid w:val="005F7D05"/>
    <w:rsid w:val="006008D2"/>
    <w:rsid w:val="00603131"/>
    <w:rsid w:val="006034CD"/>
    <w:rsid w:val="00605168"/>
    <w:rsid w:val="00627062"/>
    <w:rsid w:val="0062747A"/>
    <w:rsid w:val="0063306D"/>
    <w:rsid w:val="00636B98"/>
    <w:rsid w:val="0063792D"/>
    <w:rsid w:val="00642BFC"/>
    <w:rsid w:val="00654F89"/>
    <w:rsid w:val="006624B3"/>
    <w:rsid w:val="00673A4D"/>
    <w:rsid w:val="00686DB1"/>
    <w:rsid w:val="0069128A"/>
    <w:rsid w:val="00694451"/>
    <w:rsid w:val="00697E39"/>
    <w:rsid w:val="006A29E8"/>
    <w:rsid w:val="006A5510"/>
    <w:rsid w:val="006A7232"/>
    <w:rsid w:val="006B72F6"/>
    <w:rsid w:val="006D02F9"/>
    <w:rsid w:val="006D0ECC"/>
    <w:rsid w:val="006D1D06"/>
    <w:rsid w:val="006E096A"/>
    <w:rsid w:val="006E0D97"/>
    <w:rsid w:val="006E7616"/>
    <w:rsid w:val="006F2908"/>
    <w:rsid w:val="006F3817"/>
    <w:rsid w:val="006F390D"/>
    <w:rsid w:val="006F3990"/>
    <w:rsid w:val="006F48F0"/>
    <w:rsid w:val="006F4CA8"/>
    <w:rsid w:val="00710F7E"/>
    <w:rsid w:val="007162C5"/>
    <w:rsid w:val="00725E4E"/>
    <w:rsid w:val="00730433"/>
    <w:rsid w:val="007422CA"/>
    <w:rsid w:val="00744DBA"/>
    <w:rsid w:val="00747958"/>
    <w:rsid w:val="00750ABD"/>
    <w:rsid w:val="0075791F"/>
    <w:rsid w:val="0076054F"/>
    <w:rsid w:val="007643C1"/>
    <w:rsid w:val="00765CA1"/>
    <w:rsid w:val="00775A76"/>
    <w:rsid w:val="00776637"/>
    <w:rsid w:val="0077745E"/>
    <w:rsid w:val="0078109E"/>
    <w:rsid w:val="00784303"/>
    <w:rsid w:val="0079408B"/>
    <w:rsid w:val="0079422C"/>
    <w:rsid w:val="00796AE1"/>
    <w:rsid w:val="007A5103"/>
    <w:rsid w:val="007A5A0B"/>
    <w:rsid w:val="007A7DC0"/>
    <w:rsid w:val="007B2899"/>
    <w:rsid w:val="007B3A82"/>
    <w:rsid w:val="007B73DA"/>
    <w:rsid w:val="007B7C91"/>
    <w:rsid w:val="007C1FEF"/>
    <w:rsid w:val="007C3440"/>
    <w:rsid w:val="007D1C24"/>
    <w:rsid w:val="007D1FA5"/>
    <w:rsid w:val="007D2667"/>
    <w:rsid w:val="007D59BC"/>
    <w:rsid w:val="007D5C0E"/>
    <w:rsid w:val="007D6DCC"/>
    <w:rsid w:val="007E0052"/>
    <w:rsid w:val="007E4B6B"/>
    <w:rsid w:val="007F3DBB"/>
    <w:rsid w:val="00802646"/>
    <w:rsid w:val="00803A72"/>
    <w:rsid w:val="008048A0"/>
    <w:rsid w:val="0081359F"/>
    <w:rsid w:val="00815E6F"/>
    <w:rsid w:val="00825B66"/>
    <w:rsid w:val="00830E5C"/>
    <w:rsid w:val="00837E62"/>
    <w:rsid w:val="00842F65"/>
    <w:rsid w:val="00845BA4"/>
    <w:rsid w:val="00846FA3"/>
    <w:rsid w:val="008473E0"/>
    <w:rsid w:val="00862938"/>
    <w:rsid w:val="00866AE9"/>
    <w:rsid w:val="00867223"/>
    <w:rsid w:val="0087218E"/>
    <w:rsid w:val="00881459"/>
    <w:rsid w:val="0088602D"/>
    <w:rsid w:val="00896C2D"/>
    <w:rsid w:val="008A58F7"/>
    <w:rsid w:val="008D245F"/>
    <w:rsid w:val="008E3D8C"/>
    <w:rsid w:val="008F3167"/>
    <w:rsid w:val="008F5BE9"/>
    <w:rsid w:val="009032CD"/>
    <w:rsid w:val="00903D99"/>
    <w:rsid w:val="0091205B"/>
    <w:rsid w:val="00914BBE"/>
    <w:rsid w:val="00915CF4"/>
    <w:rsid w:val="00921288"/>
    <w:rsid w:val="00921F55"/>
    <w:rsid w:val="0093364F"/>
    <w:rsid w:val="00933975"/>
    <w:rsid w:val="009360EA"/>
    <w:rsid w:val="009518EC"/>
    <w:rsid w:val="00952295"/>
    <w:rsid w:val="00952D08"/>
    <w:rsid w:val="009538C4"/>
    <w:rsid w:val="00964784"/>
    <w:rsid w:val="0097521B"/>
    <w:rsid w:val="00983EA2"/>
    <w:rsid w:val="00987624"/>
    <w:rsid w:val="00987F08"/>
    <w:rsid w:val="00995760"/>
    <w:rsid w:val="009A0F12"/>
    <w:rsid w:val="009A3825"/>
    <w:rsid w:val="009A52B9"/>
    <w:rsid w:val="009A5601"/>
    <w:rsid w:val="009A7A44"/>
    <w:rsid w:val="009B221B"/>
    <w:rsid w:val="009B2D71"/>
    <w:rsid w:val="009B584E"/>
    <w:rsid w:val="009C38EE"/>
    <w:rsid w:val="009E29D2"/>
    <w:rsid w:val="009E3829"/>
    <w:rsid w:val="009E4363"/>
    <w:rsid w:val="009E70AA"/>
    <w:rsid w:val="009F4D88"/>
    <w:rsid w:val="00A002F0"/>
    <w:rsid w:val="00A04A30"/>
    <w:rsid w:val="00A10D4D"/>
    <w:rsid w:val="00A1606D"/>
    <w:rsid w:val="00A32DB2"/>
    <w:rsid w:val="00A42BFD"/>
    <w:rsid w:val="00A43447"/>
    <w:rsid w:val="00A465F1"/>
    <w:rsid w:val="00A52F7D"/>
    <w:rsid w:val="00A61E4C"/>
    <w:rsid w:val="00A61FC3"/>
    <w:rsid w:val="00A620D0"/>
    <w:rsid w:val="00A67FD6"/>
    <w:rsid w:val="00A74952"/>
    <w:rsid w:val="00A7751E"/>
    <w:rsid w:val="00A828E7"/>
    <w:rsid w:val="00A852EA"/>
    <w:rsid w:val="00A85E83"/>
    <w:rsid w:val="00A87827"/>
    <w:rsid w:val="00AA1D77"/>
    <w:rsid w:val="00AA4931"/>
    <w:rsid w:val="00AB01F8"/>
    <w:rsid w:val="00AC0AF0"/>
    <w:rsid w:val="00AC11EF"/>
    <w:rsid w:val="00AC2C70"/>
    <w:rsid w:val="00AD024A"/>
    <w:rsid w:val="00AD11F4"/>
    <w:rsid w:val="00AD1DCA"/>
    <w:rsid w:val="00AD5E55"/>
    <w:rsid w:val="00AE430D"/>
    <w:rsid w:val="00AF3BB8"/>
    <w:rsid w:val="00B013F1"/>
    <w:rsid w:val="00B17D2D"/>
    <w:rsid w:val="00B206C3"/>
    <w:rsid w:val="00B26EEC"/>
    <w:rsid w:val="00B27B58"/>
    <w:rsid w:val="00B30604"/>
    <w:rsid w:val="00B366AC"/>
    <w:rsid w:val="00B36701"/>
    <w:rsid w:val="00B37CA6"/>
    <w:rsid w:val="00B61571"/>
    <w:rsid w:val="00B65DC1"/>
    <w:rsid w:val="00B675B2"/>
    <w:rsid w:val="00B70E00"/>
    <w:rsid w:val="00B71B7F"/>
    <w:rsid w:val="00B75F5F"/>
    <w:rsid w:val="00B8488A"/>
    <w:rsid w:val="00B85E7F"/>
    <w:rsid w:val="00B863F1"/>
    <w:rsid w:val="00B86ECC"/>
    <w:rsid w:val="00B90DF1"/>
    <w:rsid w:val="00B93E5B"/>
    <w:rsid w:val="00B94ADF"/>
    <w:rsid w:val="00BA006E"/>
    <w:rsid w:val="00BA489C"/>
    <w:rsid w:val="00BA5F2E"/>
    <w:rsid w:val="00BB5795"/>
    <w:rsid w:val="00BB617D"/>
    <w:rsid w:val="00BB6E3B"/>
    <w:rsid w:val="00BB79F9"/>
    <w:rsid w:val="00BC270A"/>
    <w:rsid w:val="00BC3B0D"/>
    <w:rsid w:val="00BC5B46"/>
    <w:rsid w:val="00BC640D"/>
    <w:rsid w:val="00BD0B74"/>
    <w:rsid w:val="00BD5BAD"/>
    <w:rsid w:val="00BE57C0"/>
    <w:rsid w:val="00BE5F48"/>
    <w:rsid w:val="00BF3913"/>
    <w:rsid w:val="00BF64CD"/>
    <w:rsid w:val="00BF6DD2"/>
    <w:rsid w:val="00C00CEA"/>
    <w:rsid w:val="00C03DC5"/>
    <w:rsid w:val="00C12E19"/>
    <w:rsid w:val="00C14883"/>
    <w:rsid w:val="00C233B0"/>
    <w:rsid w:val="00C26EDE"/>
    <w:rsid w:val="00C27D87"/>
    <w:rsid w:val="00C32E7A"/>
    <w:rsid w:val="00C407EA"/>
    <w:rsid w:val="00C47534"/>
    <w:rsid w:val="00C50E86"/>
    <w:rsid w:val="00C51A8A"/>
    <w:rsid w:val="00C538C5"/>
    <w:rsid w:val="00C63AD1"/>
    <w:rsid w:val="00C76575"/>
    <w:rsid w:val="00C76BE8"/>
    <w:rsid w:val="00C77CCB"/>
    <w:rsid w:val="00C818B8"/>
    <w:rsid w:val="00C81BAE"/>
    <w:rsid w:val="00C84B4A"/>
    <w:rsid w:val="00C85DC2"/>
    <w:rsid w:val="00C91C4E"/>
    <w:rsid w:val="00C9230C"/>
    <w:rsid w:val="00C93418"/>
    <w:rsid w:val="00C94909"/>
    <w:rsid w:val="00C96450"/>
    <w:rsid w:val="00C97CA6"/>
    <w:rsid w:val="00CA0D42"/>
    <w:rsid w:val="00CA6B0A"/>
    <w:rsid w:val="00CB17E3"/>
    <w:rsid w:val="00CB24FC"/>
    <w:rsid w:val="00CB3238"/>
    <w:rsid w:val="00CB3536"/>
    <w:rsid w:val="00CB624A"/>
    <w:rsid w:val="00CD0D35"/>
    <w:rsid w:val="00CD16A8"/>
    <w:rsid w:val="00CD23F6"/>
    <w:rsid w:val="00CD4D6B"/>
    <w:rsid w:val="00CD69DB"/>
    <w:rsid w:val="00CD713F"/>
    <w:rsid w:val="00CD71D5"/>
    <w:rsid w:val="00CE664B"/>
    <w:rsid w:val="00CF3C3B"/>
    <w:rsid w:val="00CF4717"/>
    <w:rsid w:val="00CF59BD"/>
    <w:rsid w:val="00CF5B7A"/>
    <w:rsid w:val="00D01419"/>
    <w:rsid w:val="00D12219"/>
    <w:rsid w:val="00D16FBB"/>
    <w:rsid w:val="00D1794E"/>
    <w:rsid w:val="00D218B1"/>
    <w:rsid w:val="00D230AA"/>
    <w:rsid w:val="00D32B6A"/>
    <w:rsid w:val="00D4096B"/>
    <w:rsid w:val="00D423E2"/>
    <w:rsid w:val="00D45398"/>
    <w:rsid w:val="00D4558D"/>
    <w:rsid w:val="00D46609"/>
    <w:rsid w:val="00D50145"/>
    <w:rsid w:val="00D52D58"/>
    <w:rsid w:val="00D62BF7"/>
    <w:rsid w:val="00D74330"/>
    <w:rsid w:val="00D870E3"/>
    <w:rsid w:val="00D9602A"/>
    <w:rsid w:val="00DA7A3B"/>
    <w:rsid w:val="00DB6D3C"/>
    <w:rsid w:val="00DC2AD8"/>
    <w:rsid w:val="00DC5CB5"/>
    <w:rsid w:val="00DD2C7E"/>
    <w:rsid w:val="00DD57FE"/>
    <w:rsid w:val="00DE3466"/>
    <w:rsid w:val="00DE5285"/>
    <w:rsid w:val="00E00AE7"/>
    <w:rsid w:val="00E01B20"/>
    <w:rsid w:val="00E06D99"/>
    <w:rsid w:val="00E12730"/>
    <w:rsid w:val="00E13FFE"/>
    <w:rsid w:val="00E14B18"/>
    <w:rsid w:val="00E15C2A"/>
    <w:rsid w:val="00E170B0"/>
    <w:rsid w:val="00E20BD4"/>
    <w:rsid w:val="00E22917"/>
    <w:rsid w:val="00E25919"/>
    <w:rsid w:val="00E332DE"/>
    <w:rsid w:val="00E53ED3"/>
    <w:rsid w:val="00E545FC"/>
    <w:rsid w:val="00E54CDD"/>
    <w:rsid w:val="00E631CB"/>
    <w:rsid w:val="00E63D29"/>
    <w:rsid w:val="00E67C7A"/>
    <w:rsid w:val="00E72C4C"/>
    <w:rsid w:val="00E7517B"/>
    <w:rsid w:val="00E86C47"/>
    <w:rsid w:val="00E939AF"/>
    <w:rsid w:val="00E97394"/>
    <w:rsid w:val="00EA1CF9"/>
    <w:rsid w:val="00EA65EB"/>
    <w:rsid w:val="00EB5983"/>
    <w:rsid w:val="00EB7874"/>
    <w:rsid w:val="00EC3002"/>
    <w:rsid w:val="00EC3157"/>
    <w:rsid w:val="00ED4010"/>
    <w:rsid w:val="00ED6B8A"/>
    <w:rsid w:val="00EE3F77"/>
    <w:rsid w:val="00EE5534"/>
    <w:rsid w:val="00EF0DF5"/>
    <w:rsid w:val="00EF1A6D"/>
    <w:rsid w:val="00EF7C05"/>
    <w:rsid w:val="00F00D59"/>
    <w:rsid w:val="00F037CB"/>
    <w:rsid w:val="00F03A50"/>
    <w:rsid w:val="00F11B14"/>
    <w:rsid w:val="00F20CC0"/>
    <w:rsid w:val="00F2505E"/>
    <w:rsid w:val="00F41B2C"/>
    <w:rsid w:val="00F55123"/>
    <w:rsid w:val="00F556CC"/>
    <w:rsid w:val="00F56533"/>
    <w:rsid w:val="00F56A81"/>
    <w:rsid w:val="00F66EB4"/>
    <w:rsid w:val="00F74367"/>
    <w:rsid w:val="00F810B7"/>
    <w:rsid w:val="00F87649"/>
    <w:rsid w:val="00F9159C"/>
    <w:rsid w:val="00F95C04"/>
    <w:rsid w:val="00FA468C"/>
    <w:rsid w:val="00FA487B"/>
    <w:rsid w:val="00FA631B"/>
    <w:rsid w:val="00FB3E2D"/>
    <w:rsid w:val="00FB4998"/>
    <w:rsid w:val="00FB7904"/>
    <w:rsid w:val="00FC0D11"/>
    <w:rsid w:val="00FC1BEE"/>
    <w:rsid w:val="00FC5D0A"/>
    <w:rsid w:val="00FD54A8"/>
    <w:rsid w:val="00FE0CD1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FF3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pn.gov.pl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m.swinoujsc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in.edu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e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p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ED4C-165B-4097-B84D-6DA7920A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6</Pages>
  <Words>2967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338</cp:revision>
  <cp:lastPrinted>2022-01-04T10:39:00Z</cp:lastPrinted>
  <dcterms:created xsi:type="dcterms:W3CDTF">2016-10-11T06:58:00Z</dcterms:created>
  <dcterms:modified xsi:type="dcterms:W3CDTF">2023-01-09T10:30:00Z</dcterms:modified>
</cp:coreProperties>
</file>