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o pracownikach samorządowych (Dz. U. z 2019 r. poz. 1282)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21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CC291C" w:rsidRPr="003940BA">
        <w:rPr>
          <w:rFonts w:ascii="Times New Roman" w:hAnsi="Times New Roman"/>
          <w:b/>
          <w:sz w:val="24"/>
          <w:szCs w:val="24"/>
        </w:rPr>
        <w:t>305</w:t>
      </w:r>
      <w:r w:rsidR="007603C3" w:rsidRPr="00394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1961" w:rsidRPr="003940BA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611961" w:rsidRPr="003940BA">
        <w:rPr>
          <w:rFonts w:ascii="Times New Roman" w:hAnsi="Times New Roman"/>
          <w:b/>
          <w:sz w:val="24"/>
          <w:szCs w:val="24"/>
        </w:rPr>
        <w:t>.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 zm.)</w:t>
      </w:r>
    </w:p>
    <w:p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 xml:space="preserve">o odpowiedzialności za naruszenie dyscypliny finansów publicznych </w:t>
      </w:r>
      <w:proofErr w:type="gramStart"/>
      <w:r w:rsidR="002F7137" w:rsidRPr="003940BA">
        <w:rPr>
          <w:rFonts w:ascii="Times New Roman" w:hAnsi="Times New Roman"/>
          <w:sz w:val="24"/>
          <w:szCs w:val="24"/>
        </w:rPr>
        <w:t>(</w:t>
      </w:r>
      <w:r w:rsidR="003940BA">
        <w:rPr>
          <w:rFonts w:ascii="Times New Roman" w:hAnsi="Times New Roman"/>
          <w:sz w:val="24"/>
          <w:szCs w:val="24"/>
        </w:rPr>
        <w:t xml:space="preserve"> </w:t>
      </w:r>
      <w:r w:rsidRPr="003940BA">
        <w:rPr>
          <w:rFonts w:ascii="Times New Roman" w:hAnsi="Times New Roman"/>
          <w:sz w:val="24"/>
          <w:szCs w:val="24"/>
        </w:rPr>
        <w:t>Dz.</w:t>
      </w:r>
      <w:proofErr w:type="gramEnd"/>
      <w:r w:rsidRPr="003940BA">
        <w:rPr>
          <w:rFonts w:ascii="Times New Roman" w:hAnsi="Times New Roman"/>
          <w:sz w:val="24"/>
          <w:szCs w:val="24"/>
        </w:rPr>
        <w:t xml:space="preserve">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3940BA">
        <w:rPr>
          <w:rFonts w:ascii="Times New Roman" w:hAnsi="Times New Roman"/>
          <w:sz w:val="24"/>
          <w:szCs w:val="24"/>
        </w:rPr>
        <w:t>Vulcan</w:t>
      </w:r>
      <w:proofErr w:type="spellEnd"/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3940BA">
        <w:rPr>
          <w:rFonts w:ascii="Times New Roman" w:hAnsi="Times New Roman"/>
          <w:sz w:val="24"/>
          <w:szCs w:val="24"/>
        </w:rPr>
        <w:t>.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>
        <w:rPr>
          <w:rFonts w:eastAsia="Times New Roman"/>
          <w:lang w:eastAsia="ar-SA"/>
        </w:rPr>
        <w:t xml:space="preserve">1 </w:t>
      </w:r>
      <w:r w:rsidR="00E7323E">
        <w:rPr>
          <w:rFonts w:eastAsia="Times New Roman"/>
          <w:lang w:eastAsia="ar-SA"/>
        </w:rPr>
        <w:t>września</w:t>
      </w:r>
      <w:r>
        <w:rPr>
          <w:rFonts w:eastAsia="Times New Roman"/>
          <w:lang w:eastAsia="ar-SA"/>
        </w:rPr>
        <w:t xml:space="preserve"> </w:t>
      </w:r>
      <w:r w:rsidRPr="002B16EE">
        <w:rPr>
          <w:rFonts w:eastAsia="Times New Roman"/>
          <w:lang w:eastAsia="ar-SA"/>
        </w:rPr>
        <w:t>202</w:t>
      </w:r>
      <w:r w:rsidR="00822AB6">
        <w:rPr>
          <w:rFonts w:eastAsia="Times New Roman"/>
          <w:lang w:eastAsia="ar-SA"/>
        </w:rPr>
        <w:t>2</w:t>
      </w:r>
      <w:r w:rsidRPr="002B16EE">
        <w:rPr>
          <w:rFonts w:eastAsia="Times New Roman"/>
          <w:lang w:eastAsia="ar-SA"/>
        </w:rPr>
        <w:t xml:space="preserve"> r.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kandydata o braku prawomocnego wyroku sądu za umyślne przestępstwo </w:t>
      </w: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ścigane z oskarżenia publicznego lub umyślne przestępstwo skarbowe,</w:t>
      </w:r>
    </w:p>
    <w:p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317.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317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</w:p>
    <w:p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7047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15</w:t>
      </w:r>
      <w:r w:rsidR="00E732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7047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lipca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2022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GoBack"/>
      <w:bookmarkEnd w:id="0"/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60427"/>
    <w:rsid w:val="003940BA"/>
    <w:rsid w:val="003F2CC1"/>
    <w:rsid w:val="00455B8F"/>
    <w:rsid w:val="004C499C"/>
    <w:rsid w:val="004F7A7A"/>
    <w:rsid w:val="005006CC"/>
    <w:rsid w:val="00500E18"/>
    <w:rsid w:val="00512992"/>
    <w:rsid w:val="00570190"/>
    <w:rsid w:val="00577934"/>
    <w:rsid w:val="005939BA"/>
    <w:rsid w:val="005A0621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471C3"/>
    <w:rsid w:val="007603C3"/>
    <w:rsid w:val="0077689B"/>
    <w:rsid w:val="0077695F"/>
    <w:rsid w:val="007D5DB6"/>
    <w:rsid w:val="007E2001"/>
    <w:rsid w:val="008171EA"/>
    <w:rsid w:val="00822AB6"/>
    <w:rsid w:val="008427EB"/>
    <w:rsid w:val="00894DDC"/>
    <w:rsid w:val="008963D6"/>
    <w:rsid w:val="0091255C"/>
    <w:rsid w:val="0093046C"/>
    <w:rsid w:val="009C243F"/>
    <w:rsid w:val="00A12082"/>
    <w:rsid w:val="00A16876"/>
    <w:rsid w:val="00A447B7"/>
    <w:rsid w:val="00A51141"/>
    <w:rsid w:val="00A8601E"/>
    <w:rsid w:val="00B10233"/>
    <w:rsid w:val="00B175DC"/>
    <w:rsid w:val="00B403C4"/>
    <w:rsid w:val="00B9445D"/>
    <w:rsid w:val="00B964D9"/>
    <w:rsid w:val="00BD45D0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37D9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4</cp:revision>
  <cp:lastPrinted>2022-05-17T11:35:00Z</cp:lastPrinted>
  <dcterms:created xsi:type="dcterms:W3CDTF">2022-05-20T07:21:00Z</dcterms:created>
  <dcterms:modified xsi:type="dcterms:W3CDTF">2022-06-28T06:56:00Z</dcterms:modified>
</cp:coreProperties>
</file>