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EC" w:rsidRDefault="00840BEC" w:rsidP="00840BEC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BB4B15">
        <w:rPr>
          <w:rFonts w:ascii="Times New Roman" w:eastAsia="Times New Roman" w:hAnsi="Times New Roman" w:cs="Times New Roman"/>
          <w:sz w:val="20"/>
          <w:szCs w:val="20"/>
          <w:lang w:eastAsia="pl-PL"/>
        </w:rPr>
        <w:t>273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5473E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840BEC" w:rsidRPr="00F502A4" w:rsidRDefault="00840BEC" w:rsidP="00840BEC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</w:t>
      </w:r>
      <w:r w:rsidR="00BB4B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Świnoujście z dnia 17 maja 2022 r.</w:t>
      </w:r>
      <w:bookmarkStart w:id="0" w:name="_GoBack"/>
      <w:bookmarkEnd w:id="0"/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40BEC" w:rsidRDefault="00840BEC" w:rsidP="00840BEC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40BEC" w:rsidRDefault="00840BEC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prowadziła sezonową działalność gospodarczą w lokalu położonym przy ul.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 xml:space="preserve">W związku brakiem opłat wynajmujący wystąpił do Sądu o zapłatę należności uzyskując tytuł wykonawczy w postaci zaopatrzonego w klauzulę wykonalności nakazu zapłaty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w postępowaniu upominawczym wydanego przez Sąd Okręgowy w Szczecinie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z dnia 2 kwietnia 2003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) na kwotę 87.483,70 </w:t>
      </w:r>
      <w:proofErr w:type="gramStart"/>
      <w:r w:rsidRPr="00165239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165239">
        <w:rPr>
          <w:rFonts w:ascii="Times New Roman" w:eastAsia="Times New Roman" w:hAnsi="Times New Roman" w:cs="Times New Roman"/>
          <w:lang w:eastAsia="pl-PL"/>
        </w:rPr>
        <w:t xml:space="preserve"> wraz z odsetkami za zwłokę oraz kwotę 4.927,30 </w:t>
      </w:r>
      <w:proofErr w:type="gramStart"/>
      <w:r w:rsidRPr="00165239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165239">
        <w:rPr>
          <w:rFonts w:ascii="Times New Roman" w:eastAsia="Times New Roman" w:hAnsi="Times New Roman" w:cs="Times New Roman"/>
          <w:lang w:eastAsia="pl-PL"/>
        </w:rPr>
        <w:t xml:space="preserve"> tytułem zwrotu kosztów sądowych.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 xml:space="preserve">Postanowieniem Sądu Okręgowego w Szczecinie, prawomocnemu </w:t>
      </w:r>
      <w:r>
        <w:rPr>
          <w:rFonts w:ascii="Times New Roman" w:eastAsia="Times New Roman" w:hAnsi="Times New Roman" w:cs="Times New Roman"/>
          <w:lang w:eastAsia="pl-PL"/>
        </w:rPr>
        <w:t>nakazowi zapłaty nadano klauzulę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wykonalności także przeciwko małżonkowi dłużnika </w:t>
      </w:r>
      <w:r w:rsidR="00535E38"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35E38"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z ograniczeniem jego odpowiedzialności do majątku objętego wspólnością majątkową.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 xml:space="preserve">Wszczęte w roku 2003 (KM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) i w roku 2007 (KM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>) post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powania </w:t>
      </w:r>
      <w:proofErr w:type="gramStart"/>
      <w:r w:rsidRPr="00165239">
        <w:rPr>
          <w:rFonts w:ascii="Times New Roman" w:eastAsia="Times New Roman" w:hAnsi="Times New Roman" w:cs="Times New Roman"/>
          <w:lang w:eastAsia="pl-PL"/>
        </w:rPr>
        <w:t>egzekucyjne  doprowadziły</w:t>
      </w:r>
      <w:proofErr w:type="gramEnd"/>
      <w:r w:rsidRPr="00165239">
        <w:rPr>
          <w:rFonts w:ascii="Times New Roman" w:eastAsia="Times New Roman" w:hAnsi="Times New Roman" w:cs="Times New Roman"/>
          <w:lang w:eastAsia="pl-PL"/>
        </w:rPr>
        <w:t xml:space="preserve"> do częściowej zapłaty zasądzonych należności. Zostały zajęte nieruchomości dłużników, które zostały zlicytowane. Dłużn</w:t>
      </w:r>
      <w:r>
        <w:rPr>
          <w:rFonts w:ascii="Times New Roman" w:eastAsia="Times New Roman" w:hAnsi="Times New Roman" w:cs="Times New Roman"/>
          <w:lang w:eastAsia="pl-PL"/>
        </w:rPr>
        <w:t>ik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dokona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też dobrowolnych zapłat na poczet zadłużenia. Ogółem na poczet ww. zadłużenia wpłynęło 90.433,70 </w:t>
      </w:r>
      <w:proofErr w:type="gramStart"/>
      <w:r w:rsidRPr="00165239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165239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 xml:space="preserve">Ostatnio wszczęte postępowanie egzekucyjne o sygn. akt </w:t>
      </w:r>
      <w:proofErr w:type="spellStart"/>
      <w:r w:rsidRPr="00165239">
        <w:rPr>
          <w:rFonts w:ascii="Times New Roman" w:eastAsia="Times New Roman" w:hAnsi="Times New Roman" w:cs="Times New Roman"/>
          <w:lang w:eastAsia="pl-PL"/>
        </w:rPr>
        <w:t>GKm</w:t>
      </w:r>
      <w:proofErr w:type="spellEnd"/>
      <w:r w:rsidRPr="0016523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na podstawie ww. tytułu wykonawczego nie przyniosło oczekiwanego rezultatu. Zostało umorzone wobec stwierdzenia bezskuteczności egzekucji na mocy postanowienia Komornika Sądowego z dnia 2 września 2019 r.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>W toku prowadzon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postępowa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egzekucyjn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, Komornik ustalił, że : 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>– dłużnik otrzymuje świadczenie wypłacane z ZUS, które stanowi jedyne źródło utrzymania,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65239">
        <w:rPr>
          <w:rFonts w:ascii="Times New Roman" w:eastAsia="Times New Roman" w:hAnsi="Times New Roman" w:cs="Times New Roman"/>
          <w:lang w:eastAsia="pl-PL"/>
        </w:rPr>
        <w:t>– przeciwko dłużnikowi prowadzo</w:t>
      </w:r>
      <w:r>
        <w:rPr>
          <w:rFonts w:ascii="Times New Roman" w:eastAsia="Times New Roman" w:hAnsi="Times New Roman" w:cs="Times New Roman"/>
          <w:lang w:eastAsia="pl-PL"/>
        </w:rPr>
        <w:t>nych jest 6 spraw egzekucyjnych;</w:t>
      </w:r>
      <w:r w:rsidRPr="00165239">
        <w:rPr>
          <w:rFonts w:ascii="Times New Roman" w:eastAsia="Times New Roman" w:hAnsi="Times New Roman" w:cs="Times New Roman"/>
          <w:lang w:eastAsia="pl-PL"/>
        </w:rPr>
        <w:t xml:space="preserve"> łącznie zadłużenie </w:t>
      </w:r>
      <w:r>
        <w:rPr>
          <w:rFonts w:ascii="Times New Roman" w:eastAsia="Times New Roman" w:hAnsi="Times New Roman" w:cs="Times New Roman"/>
          <w:lang w:eastAsia="pl-PL"/>
        </w:rPr>
        <w:t xml:space="preserve">dłużnika </w:t>
      </w:r>
      <w:r w:rsidRPr="00165239">
        <w:rPr>
          <w:rFonts w:ascii="Times New Roman" w:eastAsia="Times New Roman" w:hAnsi="Times New Roman" w:cs="Times New Roman"/>
          <w:lang w:eastAsia="pl-PL"/>
        </w:rPr>
        <w:t>wynosi ponad 8 milionów złotych,</w:t>
      </w:r>
    </w:p>
    <w:p w:rsidR="00C63174" w:rsidRPr="00165239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65239">
        <w:rPr>
          <w:rFonts w:ascii="Times New Roman" w:eastAsia="Times New Roman" w:hAnsi="Times New Roman" w:cs="Times New Roman"/>
          <w:lang w:eastAsia="pl-PL"/>
        </w:rPr>
        <w:t>–  potrącenia</w:t>
      </w:r>
      <w:proofErr w:type="gramEnd"/>
      <w:r w:rsidRPr="00165239">
        <w:rPr>
          <w:rFonts w:ascii="Times New Roman" w:eastAsia="Times New Roman" w:hAnsi="Times New Roman" w:cs="Times New Roman"/>
          <w:lang w:eastAsia="pl-PL"/>
        </w:rPr>
        <w:t xml:space="preserve"> ze świadczenia wynoszą 86,40 zł miesięcznie na wszystkich wierzycieli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65239">
        <w:rPr>
          <w:rFonts w:ascii="Times New Roman" w:eastAsia="Times New Roman" w:hAnsi="Times New Roman" w:cs="Times New Roman"/>
          <w:lang w:eastAsia="pl-PL"/>
        </w:rPr>
        <w:t>i nie przekracza narastających odsetek za zwłokę i kosztów egzekucji,</w:t>
      </w:r>
    </w:p>
    <w:p w:rsidR="00C63174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165239">
        <w:rPr>
          <w:rFonts w:ascii="Times New Roman" w:eastAsia="Times New Roman" w:hAnsi="Times New Roman" w:cs="Times New Roman"/>
          <w:lang w:eastAsia="pl-PL"/>
        </w:rPr>
        <w:t>– nie ustalono żadnego majątku mogącego być przedmiotem egzekucji.</w:t>
      </w:r>
    </w:p>
    <w:p w:rsidR="00C63174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C63174" w:rsidRDefault="00C63174" w:rsidP="00C6317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ww. należności.       </w:t>
      </w: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sectPr w:rsidR="0035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753DF"/>
    <w:rsid w:val="00154EF4"/>
    <w:rsid w:val="001736A0"/>
    <w:rsid w:val="001838A5"/>
    <w:rsid w:val="00230AE3"/>
    <w:rsid w:val="003501BC"/>
    <w:rsid w:val="003873E8"/>
    <w:rsid w:val="003F673A"/>
    <w:rsid w:val="005166A6"/>
    <w:rsid w:val="00535E38"/>
    <w:rsid w:val="005473E8"/>
    <w:rsid w:val="00573D30"/>
    <w:rsid w:val="005C0610"/>
    <w:rsid w:val="005F5EE0"/>
    <w:rsid w:val="006C3B3B"/>
    <w:rsid w:val="00701229"/>
    <w:rsid w:val="00726943"/>
    <w:rsid w:val="007A020B"/>
    <w:rsid w:val="007D4B2B"/>
    <w:rsid w:val="008325B3"/>
    <w:rsid w:val="008369F6"/>
    <w:rsid w:val="00840BEC"/>
    <w:rsid w:val="00931F80"/>
    <w:rsid w:val="00963408"/>
    <w:rsid w:val="009E1C8F"/>
    <w:rsid w:val="009F4ECF"/>
    <w:rsid w:val="00A958EF"/>
    <w:rsid w:val="00B26EC9"/>
    <w:rsid w:val="00BB4B15"/>
    <w:rsid w:val="00C21ED1"/>
    <w:rsid w:val="00C63174"/>
    <w:rsid w:val="00C7052E"/>
    <w:rsid w:val="00C900F2"/>
    <w:rsid w:val="00CB7780"/>
    <w:rsid w:val="00D170F7"/>
    <w:rsid w:val="00D76B80"/>
    <w:rsid w:val="00D92CF8"/>
    <w:rsid w:val="00E2534E"/>
    <w:rsid w:val="00E734B2"/>
    <w:rsid w:val="00ED4500"/>
    <w:rsid w:val="00E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E3C1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F2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29</cp:revision>
  <cp:lastPrinted>2022-03-03T12:24:00Z</cp:lastPrinted>
  <dcterms:created xsi:type="dcterms:W3CDTF">2020-07-06T06:19:00Z</dcterms:created>
  <dcterms:modified xsi:type="dcterms:W3CDTF">2022-05-24T08:57:00Z</dcterms:modified>
</cp:coreProperties>
</file>