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0320F9">
        <w:t>0</w:t>
      </w:r>
      <w:r w:rsidR="00BE1EAF">
        <w:t>1</w:t>
      </w:r>
      <w:r w:rsidR="00283CB9">
        <w:t xml:space="preserve"> </w:t>
      </w:r>
      <w:r w:rsidR="00BE1EAF">
        <w:t>kwietni</w:t>
      </w:r>
      <w:r w:rsidR="00873CD8">
        <w:t>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9B61E5">
        <w:t>7</w:t>
      </w:r>
      <w:r w:rsidRPr="00873CD8">
        <w:t>.20</w:t>
      </w:r>
      <w:r w:rsidR="00873CD8" w:rsidRPr="00873CD8">
        <w:t>2</w:t>
      </w:r>
      <w:r w:rsidR="00B11A47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11A47" w:rsidRPr="000D72B2">
        <w:rPr>
          <w:rFonts w:ascii="Times New Roman" w:hAnsi="Times New Roman" w:cs="Times New Roman"/>
          <w:sz w:val="24"/>
          <w:szCs w:val="24"/>
        </w:rPr>
        <w:t>tj</w:t>
      </w:r>
      <w:r w:rsidR="00B11A4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981A5D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1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4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BE1EAF">
        <w:rPr>
          <w:b w:val="0"/>
          <w:sz w:val="24"/>
          <w:szCs w:val="24"/>
        </w:rPr>
        <w:t>a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BE1EAF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</w:t>
      </w:r>
      <w:r w:rsidR="00BE1EAF">
        <w:rPr>
          <w:b w:val="0"/>
          <w:sz w:val="24"/>
          <w:szCs w:val="24"/>
        </w:rPr>
        <w:t xml:space="preserve">decyzja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9B61E5">
        <w:rPr>
          <w:b w:val="0"/>
          <w:bCs w:val="0"/>
          <w:color w:val="000000"/>
          <w:sz w:val="24"/>
          <w:szCs w:val="24"/>
        </w:rPr>
        <w:t>7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BE1EAF">
        <w:rPr>
          <w:b w:val="0"/>
          <w:color w:val="000000"/>
          <w:sz w:val="24"/>
          <w:szCs w:val="24"/>
        </w:rPr>
        <w:t xml:space="preserve">ustalająca wysokość </w:t>
      </w:r>
      <w:r w:rsidRPr="00283CB9">
        <w:rPr>
          <w:b w:val="0"/>
          <w:sz w:val="24"/>
          <w:szCs w:val="24"/>
        </w:rPr>
        <w:t xml:space="preserve">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9B61E5">
        <w:rPr>
          <w:b w:val="0"/>
          <w:sz w:val="24"/>
          <w:szCs w:val="24"/>
        </w:rPr>
        <w:t xml:space="preserve">ym Wacławie </w:t>
      </w:r>
      <w:proofErr w:type="spellStart"/>
      <w:r w:rsidR="009B61E5">
        <w:rPr>
          <w:b w:val="0"/>
          <w:sz w:val="24"/>
          <w:szCs w:val="24"/>
        </w:rPr>
        <w:t>Wojdalskim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9B61E5">
        <w:rPr>
          <w:b w:val="0"/>
          <w:sz w:val="24"/>
          <w:szCs w:val="24"/>
        </w:rPr>
        <w:t>½ ze 122</w:t>
      </w:r>
      <w:bookmarkStart w:id="0" w:name="_GoBack"/>
      <w:bookmarkEnd w:id="0"/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873CD8" w:rsidRPr="00283CB9">
        <w:rPr>
          <w:b w:val="0"/>
          <w:sz w:val="24"/>
          <w:szCs w:val="24"/>
        </w:rPr>
        <w:t>488/2</w:t>
      </w:r>
      <w:r w:rsidRPr="00283CB9">
        <w:rPr>
          <w:b w:val="0"/>
          <w:sz w:val="24"/>
          <w:szCs w:val="24"/>
        </w:rPr>
        <w:t xml:space="preserve"> o pow. 0,0</w:t>
      </w:r>
      <w:r w:rsidR="00873CD8" w:rsidRPr="00283CB9">
        <w:rPr>
          <w:b w:val="0"/>
          <w:sz w:val="24"/>
          <w:szCs w:val="24"/>
        </w:rPr>
        <w:t>256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B61E5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11A47"/>
    <w:rsid w:val="00B2711C"/>
    <w:rsid w:val="00B65E9E"/>
    <w:rsid w:val="00BA1B8F"/>
    <w:rsid w:val="00BB045E"/>
    <w:rsid w:val="00BC3A57"/>
    <w:rsid w:val="00BE1EAF"/>
    <w:rsid w:val="00C04218"/>
    <w:rsid w:val="00C05C79"/>
    <w:rsid w:val="00C14784"/>
    <w:rsid w:val="00C27D2E"/>
    <w:rsid w:val="00C31C6F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3391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9F81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0B75-6B3D-4673-9A2C-39AD152F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2022-04-01T11:44:00Z</cp:lastPrinted>
  <dcterms:created xsi:type="dcterms:W3CDTF">2022-04-01T11:58:00Z</dcterms:created>
  <dcterms:modified xsi:type="dcterms:W3CDTF">2022-04-01T11:58:00Z</dcterms:modified>
</cp:coreProperties>
</file>