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91" w:rsidRDefault="00780937" w:rsidP="007C308D">
      <w:pPr>
        <w:pStyle w:val="Nagwek"/>
        <w:tabs>
          <w:tab w:val="clear" w:pos="4536"/>
          <w:tab w:val="clear" w:pos="9072"/>
        </w:tabs>
        <w:jc w:val="right"/>
      </w:pPr>
      <w:r>
        <w:t xml:space="preserve">  Świnoujście</w:t>
      </w:r>
      <w:r w:rsidR="008A3792">
        <w:t>,</w:t>
      </w:r>
      <w:r>
        <w:t xml:space="preserve"> </w:t>
      </w:r>
      <w:r w:rsidR="008A3792">
        <w:t>28</w:t>
      </w:r>
      <w:r>
        <w:t xml:space="preserve"> stycznia</w:t>
      </w:r>
      <w:r w:rsidR="001B48FB">
        <w:t xml:space="preserve"> 2022</w:t>
      </w:r>
      <w:r w:rsidR="007C308D">
        <w:t xml:space="preserve"> r</w:t>
      </w:r>
      <w:r w:rsidR="00D05899">
        <w:t>.</w:t>
      </w:r>
    </w:p>
    <w:p w:rsidR="007D7CC2" w:rsidRPr="00AE1E59" w:rsidRDefault="007D7CC2" w:rsidP="007D7CC2">
      <w:pPr>
        <w:pStyle w:val="Nagwek1"/>
        <w:rPr>
          <w:b/>
          <w:bCs/>
          <w:color w:val="000000"/>
          <w:sz w:val="16"/>
          <w:szCs w:val="16"/>
        </w:rPr>
      </w:pPr>
    </w:p>
    <w:p w:rsidR="00785054" w:rsidRDefault="00785054" w:rsidP="00F01F91">
      <w:pPr>
        <w:pStyle w:val="Nagwek1"/>
        <w:rPr>
          <w:b/>
          <w:bCs/>
          <w:color w:val="000000"/>
          <w:szCs w:val="32"/>
        </w:rPr>
      </w:pPr>
    </w:p>
    <w:p w:rsidR="00785054" w:rsidRDefault="00785054" w:rsidP="00F01F91">
      <w:pPr>
        <w:pStyle w:val="Nagwek1"/>
        <w:rPr>
          <w:b/>
          <w:bCs/>
          <w:color w:val="000000"/>
          <w:szCs w:val="32"/>
        </w:rPr>
      </w:pPr>
    </w:p>
    <w:p w:rsidR="007D7CC2" w:rsidRDefault="003D568D" w:rsidP="00F01F91">
      <w:pPr>
        <w:pStyle w:val="Nagwek1"/>
        <w:rPr>
          <w:b/>
          <w:bCs/>
          <w:color w:val="000000"/>
          <w:szCs w:val="32"/>
        </w:rPr>
      </w:pPr>
      <w:r>
        <w:rPr>
          <w:b/>
          <w:bCs/>
          <w:color w:val="000000"/>
          <w:szCs w:val="32"/>
        </w:rPr>
        <w:t>OGŁOSZENIE nr 2</w:t>
      </w:r>
      <w:r w:rsidR="0049781B">
        <w:rPr>
          <w:b/>
          <w:bCs/>
          <w:color w:val="000000"/>
          <w:szCs w:val="32"/>
        </w:rPr>
        <w:t>/</w:t>
      </w:r>
      <w:r w:rsidR="007D7CC2">
        <w:rPr>
          <w:b/>
          <w:bCs/>
          <w:color w:val="000000"/>
          <w:szCs w:val="32"/>
        </w:rPr>
        <w:t>20</w:t>
      </w:r>
      <w:r w:rsidR="001B48FB">
        <w:rPr>
          <w:b/>
          <w:bCs/>
          <w:color w:val="000000"/>
          <w:szCs w:val="32"/>
        </w:rPr>
        <w:t>22</w:t>
      </w:r>
    </w:p>
    <w:p w:rsidR="00F01F91" w:rsidRPr="00F01F91" w:rsidRDefault="00F01F91" w:rsidP="00F01F91"/>
    <w:p w:rsidR="00C668FD" w:rsidRPr="003D568D" w:rsidRDefault="003D568D" w:rsidP="003D56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TBS Lokum sp. z o.o. </w:t>
      </w:r>
      <w:r w:rsidR="00A07529">
        <w:rPr>
          <w:sz w:val="28"/>
          <w:szCs w:val="28"/>
        </w:rPr>
        <w:t>n</w:t>
      </w:r>
      <w:r w:rsidR="00A07529" w:rsidRPr="00A07529">
        <w:rPr>
          <w:sz w:val="28"/>
          <w:szCs w:val="28"/>
        </w:rPr>
        <w:t>umer KRS: 0000851315</w:t>
      </w:r>
      <w:r w:rsidR="00A07529">
        <w:rPr>
          <w:sz w:val="28"/>
          <w:szCs w:val="28"/>
        </w:rPr>
        <w:t xml:space="preserve">, siedzibą w Świnoujściu, </w:t>
      </w:r>
      <w:r>
        <w:rPr>
          <w:sz w:val="28"/>
          <w:szCs w:val="28"/>
        </w:rPr>
        <w:t xml:space="preserve">przy </w:t>
      </w:r>
      <w:r w:rsidR="00A07529">
        <w:rPr>
          <w:sz w:val="28"/>
          <w:szCs w:val="28"/>
        </w:rPr>
        <w:t>ul. Wyspiańskiego 35C,</w:t>
      </w:r>
      <w:r>
        <w:rPr>
          <w:sz w:val="28"/>
          <w:szCs w:val="28"/>
        </w:rPr>
        <w:t xml:space="preserve"> </w:t>
      </w:r>
      <w:r w:rsidR="00A07529">
        <w:rPr>
          <w:sz w:val="28"/>
          <w:szCs w:val="28"/>
        </w:rPr>
        <w:t xml:space="preserve">w imieniu Gminy Miasto Świnoujście </w:t>
      </w:r>
      <w:r w:rsidR="008535D9" w:rsidRPr="00B97ACB">
        <w:rPr>
          <w:b/>
          <w:sz w:val="28"/>
          <w:szCs w:val="28"/>
        </w:rPr>
        <w:t xml:space="preserve">ogłasza </w:t>
      </w:r>
      <w:r w:rsidR="001B48FB">
        <w:rPr>
          <w:b/>
          <w:sz w:val="28"/>
          <w:szCs w:val="28"/>
        </w:rPr>
        <w:t>pierwszy</w:t>
      </w:r>
      <w:r w:rsidR="001A7224">
        <w:rPr>
          <w:b/>
          <w:sz w:val="28"/>
          <w:szCs w:val="28"/>
        </w:rPr>
        <w:t>,</w:t>
      </w:r>
      <w:r w:rsidR="008535D9" w:rsidRPr="00B97ACB">
        <w:rPr>
          <w:b/>
          <w:sz w:val="28"/>
          <w:szCs w:val="28"/>
        </w:rPr>
        <w:t xml:space="preserve"> nieograniczony przetarg na najem</w:t>
      </w:r>
      <w:r w:rsidR="00A07529" w:rsidRPr="00B97ACB">
        <w:rPr>
          <w:b/>
          <w:sz w:val="28"/>
          <w:szCs w:val="28"/>
        </w:rPr>
        <w:t xml:space="preserve"> lokal</w:t>
      </w:r>
      <w:r w:rsidR="008535D9" w:rsidRPr="00B97ACB">
        <w:rPr>
          <w:b/>
          <w:sz w:val="28"/>
          <w:szCs w:val="28"/>
        </w:rPr>
        <w:t>u</w:t>
      </w:r>
      <w:r w:rsidR="00A07529" w:rsidRPr="00B97ACB">
        <w:rPr>
          <w:b/>
          <w:sz w:val="28"/>
          <w:szCs w:val="28"/>
        </w:rPr>
        <w:t xml:space="preserve"> użytkow</w:t>
      </w:r>
      <w:r w:rsidR="008535D9" w:rsidRPr="00B97ACB">
        <w:rPr>
          <w:b/>
          <w:sz w:val="28"/>
          <w:szCs w:val="28"/>
        </w:rPr>
        <w:t>ego</w:t>
      </w:r>
      <w:r w:rsidR="00A07529" w:rsidRPr="00B97ACB">
        <w:rPr>
          <w:b/>
          <w:sz w:val="28"/>
          <w:szCs w:val="28"/>
        </w:rPr>
        <w:t xml:space="preserve"> położon</w:t>
      </w:r>
      <w:r w:rsidR="008535D9" w:rsidRPr="00B97ACB">
        <w:rPr>
          <w:b/>
          <w:sz w:val="28"/>
          <w:szCs w:val="28"/>
        </w:rPr>
        <w:t>ego</w:t>
      </w:r>
      <w:r w:rsidR="00A07529" w:rsidRPr="00B97A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A07529" w:rsidRPr="00B97ACB">
        <w:rPr>
          <w:b/>
          <w:sz w:val="28"/>
          <w:szCs w:val="28"/>
        </w:rPr>
        <w:t>w Świnou</w:t>
      </w:r>
      <w:r w:rsidR="00C56421" w:rsidRPr="00B97ACB">
        <w:rPr>
          <w:b/>
          <w:sz w:val="28"/>
          <w:szCs w:val="28"/>
        </w:rPr>
        <w:t>jściu przy</w:t>
      </w:r>
      <w:r w:rsidR="00A07529" w:rsidRPr="00B97ACB">
        <w:rPr>
          <w:b/>
          <w:sz w:val="28"/>
          <w:szCs w:val="28"/>
        </w:rPr>
        <w:t xml:space="preserve"> </w:t>
      </w:r>
    </w:p>
    <w:p w:rsidR="00A07529" w:rsidRPr="00A07529" w:rsidRDefault="00A07529" w:rsidP="00A07529">
      <w:pPr>
        <w:rPr>
          <w:b/>
          <w:sz w:val="28"/>
          <w:szCs w:val="28"/>
        </w:rPr>
      </w:pPr>
    </w:p>
    <w:p w:rsidR="00C668FD" w:rsidRPr="00393FE0" w:rsidRDefault="00020AF4" w:rsidP="004B4506">
      <w:pPr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C56421">
        <w:rPr>
          <w:b/>
          <w:bCs/>
          <w:sz w:val="32"/>
          <w:szCs w:val="32"/>
          <w:u w:val="single"/>
        </w:rPr>
        <w:t xml:space="preserve">ul.  </w:t>
      </w:r>
      <w:r w:rsidR="001B48FB">
        <w:rPr>
          <w:b/>
          <w:bCs/>
          <w:sz w:val="32"/>
          <w:szCs w:val="32"/>
          <w:u w:val="single"/>
        </w:rPr>
        <w:t>BOHATERÓW WRZEŚNIA 6 lok. Nr 205</w:t>
      </w:r>
    </w:p>
    <w:p w:rsidR="00C668FD" w:rsidRPr="00D83A06" w:rsidRDefault="00C668FD" w:rsidP="00C668FD">
      <w:pPr>
        <w:rPr>
          <w:b/>
          <w:bCs/>
          <w:sz w:val="20"/>
          <w:szCs w:val="20"/>
        </w:rPr>
      </w:pPr>
    </w:p>
    <w:p w:rsidR="00F01F91" w:rsidRDefault="00F01F91" w:rsidP="00F01F91">
      <w:pPr>
        <w:jc w:val="both"/>
        <w:rPr>
          <w:sz w:val="20"/>
          <w:szCs w:val="20"/>
        </w:rPr>
      </w:pPr>
    </w:p>
    <w:p w:rsidR="00041A7C" w:rsidRPr="00B9432B" w:rsidRDefault="00041A7C" w:rsidP="00041A7C">
      <w:pPr>
        <w:pStyle w:val="Akapitzlist"/>
        <w:numPr>
          <w:ilvl w:val="0"/>
          <w:numId w:val="22"/>
        </w:numPr>
        <w:spacing w:line="276" w:lineRule="auto"/>
        <w:jc w:val="both"/>
        <w:rPr>
          <w:b/>
        </w:rPr>
      </w:pPr>
      <w:r>
        <w:rPr>
          <w:b/>
        </w:rPr>
        <w:t>PRZEDMIOT PRZETARGU.</w:t>
      </w:r>
    </w:p>
    <w:p w:rsidR="00041A7C" w:rsidRPr="00B34898" w:rsidRDefault="00041A7C" w:rsidP="00B34898">
      <w:pPr>
        <w:tabs>
          <w:tab w:val="left" w:pos="-4614"/>
        </w:tabs>
        <w:jc w:val="both"/>
        <w:rPr>
          <w:b/>
          <w:bCs/>
        </w:rPr>
      </w:pPr>
      <w:r>
        <w:rPr>
          <w:iCs/>
        </w:rPr>
        <w:t xml:space="preserve">1. </w:t>
      </w:r>
      <w:r w:rsidRPr="009F1E39">
        <w:rPr>
          <w:iCs/>
        </w:rPr>
        <w:t xml:space="preserve">Przedmiotem przetargu </w:t>
      </w:r>
      <w:r>
        <w:rPr>
          <w:iCs/>
        </w:rPr>
        <w:t>jest</w:t>
      </w:r>
      <w:r w:rsidRPr="009F1E39">
        <w:rPr>
          <w:iCs/>
        </w:rPr>
        <w:t xml:space="preserve">: </w:t>
      </w:r>
      <w:r>
        <w:t>l</w:t>
      </w:r>
      <w:r w:rsidRPr="00161324">
        <w:t xml:space="preserve">okal </w:t>
      </w:r>
      <w:r>
        <w:t xml:space="preserve">użytkowy </w:t>
      </w:r>
      <w:r w:rsidRPr="000D07A7">
        <w:rPr>
          <w:bCs/>
        </w:rPr>
        <w:t xml:space="preserve">o </w:t>
      </w:r>
      <w:r w:rsidRPr="00423899">
        <w:rPr>
          <w:bCs/>
        </w:rPr>
        <w:t xml:space="preserve">powierzchni </w:t>
      </w:r>
      <w:r>
        <w:rPr>
          <w:b/>
          <w:bCs/>
        </w:rPr>
        <w:t xml:space="preserve">40,50 </w:t>
      </w:r>
      <w:r w:rsidRPr="00423899">
        <w:rPr>
          <w:b/>
          <w:bCs/>
        </w:rPr>
        <w:t>m</w:t>
      </w:r>
      <w:r w:rsidRPr="00423899">
        <w:rPr>
          <w:b/>
          <w:bCs/>
          <w:vertAlign w:val="superscript"/>
        </w:rPr>
        <w:t>2</w:t>
      </w:r>
      <w:r>
        <w:rPr>
          <w:bCs/>
        </w:rPr>
        <w:t>, składający się z </w:t>
      </w:r>
      <w:r w:rsidRPr="00393FE0">
        <w:rPr>
          <w:bCs/>
        </w:rPr>
        <w:t>jednego pomieszczenia</w:t>
      </w:r>
      <w:r w:rsidR="006141FC">
        <w:rPr>
          <w:bCs/>
        </w:rPr>
        <w:t>, o następujących parametrach:</w:t>
      </w:r>
    </w:p>
    <w:p w:rsidR="00041A7C" w:rsidRPr="000D07A7" w:rsidRDefault="00041A7C" w:rsidP="00B34898">
      <w:pPr>
        <w:pStyle w:val="Akapitzlist"/>
        <w:numPr>
          <w:ilvl w:val="0"/>
          <w:numId w:val="29"/>
        </w:numPr>
        <w:spacing w:line="276" w:lineRule="auto"/>
        <w:jc w:val="both"/>
      </w:pPr>
      <w:r>
        <w:t>Przeznaczenie: biuro</w:t>
      </w:r>
      <w:r w:rsidRPr="00635A87">
        <w:t xml:space="preserve">, </w:t>
      </w:r>
      <w:r>
        <w:t xml:space="preserve">nieuciążliwe usługi (np. </w:t>
      </w:r>
      <w:r w:rsidRPr="00635A87">
        <w:t>medyczne,</w:t>
      </w:r>
      <w:r>
        <w:t xml:space="preserve"> kosmetyczne). </w:t>
      </w:r>
    </w:p>
    <w:p w:rsidR="00041A7C" w:rsidRPr="004B4506" w:rsidRDefault="00041A7C" w:rsidP="00B34898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Położenie: drugie piętro budynku przy ul. Bohaterów Września 6, wybudowanego w 1908 roku, po rewitalizacji, w centrum Świnoujścia, od strony północnej (działka nr 597/3 </w:t>
      </w:r>
      <w:r w:rsidRPr="00A47ACD">
        <w:t>o powierzchni 2287 m</w:t>
      </w:r>
      <w:r w:rsidRPr="00041A7C">
        <w:rPr>
          <w:vertAlign w:val="superscript"/>
        </w:rPr>
        <w:t>2</w:t>
      </w:r>
      <w:r w:rsidRPr="00A47ACD">
        <w:t>, obręb 0006, KW nr SZ1W/00014052/5).</w:t>
      </w:r>
      <w:r>
        <w:t xml:space="preserve"> </w:t>
      </w:r>
      <w:r w:rsidRPr="004B4506">
        <w:t xml:space="preserve">Brak planu zagospodarowania przestrzennego – teren dzielnicy śródmiejskiej wpisany </w:t>
      </w:r>
      <w:r>
        <w:br/>
      </w:r>
      <w:r w:rsidRPr="004B4506">
        <w:t>do rejestru zabytków A-1177.</w:t>
      </w:r>
    </w:p>
    <w:p w:rsidR="00041A7C" w:rsidRDefault="00041A7C" w:rsidP="00B34898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Stan techniczny: </w:t>
      </w:r>
      <w:r w:rsidRPr="00393FE0">
        <w:t xml:space="preserve">dobry, </w:t>
      </w:r>
      <w:r>
        <w:t xml:space="preserve">lokal </w:t>
      </w:r>
      <w:r w:rsidRPr="00393FE0">
        <w:t>wypo</w:t>
      </w:r>
      <w:r>
        <w:t xml:space="preserve">sażony w instalację elektryczną, wodną </w:t>
      </w:r>
      <w:r>
        <w:br/>
      </w:r>
      <w:r w:rsidRPr="00393FE0">
        <w:t>i centralne ogrzewani</w:t>
      </w:r>
      <w:r>
        <w:t>e</w:t>
      </w:r>
      <w:r w:rsidRPr="00393FE0">
        <w:t>. Pomieszczenia sanitarne – do wspólnego użytku na piętrze.</w:t>
      </w:r>
    </w:p>
    <w:p w:rsidR="00CB1AFB" w:rsidRPr="00B34898" w:rsidRDefault="00CB1AFB" w:rsidP="00B34898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Opłaty dodatkowe: w budynku obowiązuje tzw. </w:t>
      </w:r>
      <w:r w:rsidRPr="00A67C80">
        <w:t xml:space="preserve">opłata za </w:t>
      </w:r>
      <w:r>
        <w:t>media:</w:t>
      </w:r>
      <w:r w:rsidRPr="00A67C80">
        <w:t xml:space="preserve"> c</w:t>
      </w:r>
      <w:r>
        <w:t xml:space="preserve">entralne </w:t>
      </w:r>
      <w:r w:rsidRPr="00A67C80">
        <w:t>o</w:t>
      </w:r>
      <w:r>
        <w:t>grzewanie</w:t>
      </w:r>
      <w:r w:rsidRPr="00A67C80">
        <w:t>, z</w:t>
      </w:r>
      <w:r>
        <w:t>imna woda</w:t>
      </w:r>
      <w:r w:rsidRPr="00A67C80">
        <w:t xml:space="preserve">, ścieki, </w:t>
      </w:r>
      <w:r>
        <w:t>wywóz odpadów komunalnych, sprzątanie części wspólnych i</w:t>
      </w:r>
      <w:r w:rsidR="006141FC">
        <w:t> </w:t>
      </w:r>
      <w:r w:rsidRPr="00A67C80">
        <w:t>energia elektryczna</w:t>
      </w:r>
      <w:r>
        <w:t xml:space="preserve"> </w:t>
      </w:r>
      <w:r w:rsidRPr="00CB1AFB">
        <w:rPr>
          <w:b/>
          <w:bCs/>
        </w:rPr>
        <w:t>w wysokości 8,68 zł netto/m</w:t>
      </w:r>
      <w:r w:rsidRPr="00CB1AFB">
        <w:rPr>
          <w:b/>
          <w:bCs/>
          <w:vertAlign w:val="superscript"/>
        </w:rPr>
        <w:t>2</w:t>
      </w:r>
      <w:r w:rsidRPr="00CB1AFB">
        <w:rPr>
          <w:b/>
          <w:bCs/>
        </w:rPr>
        <w:t xml:space="preserve"> powierzchni lokalu, tj. 10,68 zł brutto/m</w:t>
      </w:r>
      <w:r w:rsidRPr="00CB1AFB">
        <w:rPr>
          <w:b/>
          <w:bCs/>
          <w:vertAlign w:val="superscript"/>
        </w:rPr>
        <w:t>2</w:t>
      </w:r>
    </w:p>
    <w:p w:rsidR="00041A7C" w:rsidRPr="00CD0387" w:rsidRDefault="00041A7C" w:rsidP="00CD0387">
      <w:pPr>
        <w:pStyle w:val="Akapitzlist"/>
        <w:numPr>
          <w:ilvl w:val="0"/>
          <w:numId w:val="26"/>
        </w:numPr>
        <w:tabs>
          <w:tab w:val="left" w:pos="-4614"/>
        </w:tabs>
        <w:spacing w:after="160" w:line="276" w:lineRule="auto"/>
        <w:ind w:left="284" w:hanging="284"/>
        <w:jc w:val="both"/>
        <w:rPr>
          <w:bCs/>
        </w:rPr>
      </w:pPr>
      <w:r w:rsidRPr="009F1E39">
        <w:rPr>
          <w:b/>
          <w:bCs/>
        </w:rPr>
        <w:t>Oferent zobowiązany jest do zapoznania się ze stanem prawnym i faktycznym przedmiotu przetargu przed zgłoszeniem do przetargu.</w:t>
      </w:r>
    </w:p>
    <w:p w:rsidR="00041A7C" w:rsidRPr="00B9432B" w:rsidRDefault="00041A7C" w:rsidP="00041A7C">
      <w:pPr>
        <w:pStyle w:val="Tekstpodstawowy"/>
        <w:numPr>
          <w:ilvl w:val="0"/>
          <w:numId w:val="22"/>
        </w:numPr>
        <w:tabs>
          <w:tab w:val="left" w:pos="9214"/>
        </w:tabs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STAWKA WYWOŁAWCZA I WADIUM.</w:t>
      </w:r>
    </w:p>
    <w:p w:rsidR="00041A7C" w:rsidRPr="00B34898" w:rsidRDefault="00041A7C" w:rsidP="00B34898">
      <w:pPr>
        <w:pStyle w:val="Akapitzlist"/>
        <w:numPr>
          <w:ilvl w:val="0"/>
          <w:numId w:val="28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b/>
          <w:bCs/>
          <w:szCs w:val="32"/>
          <w:u w:val="single"/>
          <w:lang w:eastAsia="en-US"/>
        </w:rPr>
      </w:pPr>
      <w:r w:rsidRPr="00B34898">
        <w:rPr>
          <w:b/>
          <w:bCs/>
          <w:u w:val="single"/>
          <w:lang w:eastAsia="en-US"/>
        </w:rPr>
        <w:t>Stawka wywoławcza:</w:t>
      </w:r>
      <w:r w:rsidRPr="00B34898">
        <w:rPr>
          <w:bCs/>
          <w:lang w:eastAsia="en-US"/>
        </w:rPr>
        <w:t xml:space="preserve"> </w:t>
      </w:r>
      <w:r w:rsidRPr="00B34898">
        <w:rPr>
          <w:b/>
          <w:bCs/>
          <w:u w:val="single"/>
          <w:lang w:eastAsia="en-US"/>
        </w:rPr>
        <w:t>25 zł netto miesięcznie za 1</w:t>
      </w:r>
      <w:r w:rsidR="009E5139">
        <w:rPr>
          <w:b/>
          <w:bCs/>
          <w:u w:val="single"/>
          <w:lang w:eastAsia="en-US"/>
        </w:rPr>
        <w:t xml:space="preserve"> </w:t>
      </w:r>
      <w:r w:rsidRPr="00B34898">
        <w:rPr>
          <w:b/>
          <w:bCs/>
          <w:u w:val="single"/>
          <w:lang w:eastAsia="en-US"/>
        </w:rPr>
        <w:t>m2 pow. użytkowej,</w:t>
      </w:r>
    </w:p>
    <w:p w:rsidR="00041A7C" w:rsidRPr="00B34898" w:rsidRDefault="00041A7C" w:rsidP="00B34898">
      <w:pPr>
        <w:pStyle w:val="Akapitzlist"/>
        <w:numPr>
          <w:ilvl w:val="0"/>
          <w:numId w:val="28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bCs/>
          <w:szCs w:val="32"/>
          <w:lang w:eastAsia="en-US"/>
        </w:rPr>
      </w:pPr>
      <w:r w:rsidRPr="00B34898">
        <w:rPr>
          <w:b/>
          <w:u w:val="single"/>
          <w:lang w:eastAsia="en-US"/>
        </w:rPr>
        <w:t>Minimalna wartość postąpienia</w:t>
      </w:r>
      <w:r w:rsidRPr="00041A7C">
        <w:rPr>
          <w:lang w:eastAsia="en-US"/>
        </w:rPr>
        <w:t xml:space="preserve"> </w:t>
      </w:r>
      <w:r w:rsidRPr="00041A7C">
        <w:t xml:space="preserve">(minimalna kwota, o którą należy podwyższyć stawkę wywoławczą) </w:t>
      </w:r>
      <w:r w:rsidRPr="00B34898">
        <w:t xml:space="preserve">wynosi </w:t>
      </w:r>
      <w:r w:rsidR="009E5139" w:rsidRPr="00B34898">
        <w:rPr>
          <w:b/>
          <w:u w:val="single"/>
        </w:rPr>
        <w:t>2</w:t>
      </w:r>
      <w:r w:rsidRPr="00B34898">
        <w:rPr>
          <w:b/>
          <w:u w:val="single"/>
        </w:rPr>
        <w:t xml:space="preserve"> zł</w:t>
      </w:r>
      <w:r w:rsidR="009E5139" w:rsidRPr="00B34898">
        <w:rPr>
          <w:b/>
          <w:u w:val="single"/>
        </w:rPr>
        <w:t xml:space="preserve"> netto</w:t>
      </w:r>
      <w:r w:rsidR="009E5139" w:rsidRPr="009E5139">
        <w:t xml:space="preserve"> miesięcznie za 1 m2 pow. użytkowej</w:t>
      </w:r>
      <w:r w:rsidRPr="00041A7C">
        <w:t>. Wysokość postąpienia może zostać w ofercie zwielokrotniona.</w:t>
      </w:r>
    </w:p>
    <w:p w:rsidR="00041A7C" w:rsidRPr="009F1E39" w:rsidRDefault="00041A7C" w:rsidP="00B34898">
      <w:pPr>
        <w:pStyle w:val="Akapitzlist"/>
        <w:numPr>
          <w:ilvl w:val="0"/>
          <w:numId w:val="28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b/>
          <w:bCs/>
          <w:szCs w:val="32"/>
          <w:lang w:eastAsia="en-US"/>
        </w:rPr>
      </w:pPr>
      <w:r w:rsidRPr="00B34898">
        <w:t>Wadium</w:t>
      </w:r>
      <w:r w:rsidRPr="00041A7C">
        <w:t xml:space="preserve"> przetargowe w wysokości </w:t>
      </w:r>
      <w:r w:rsidR="009E5139" w:rsidRPr="00B34898">
        <w:rPr>
          <w:b/>
        </w:rPr>
        <w:t>3 000 zł</w:t>
      </w:r>
      <w:r w:rsidRPr="00B34898">
        <w:t xml:space="preserve"> płatne do dnia </w:t>
      </w:r>
      <w:r w:rsidR="009E5139" w:rsidRPr="009E5139">
        <w:t>do dnia 9 lutego 2022 r.</w:t>
      </w:r>
      <w:r w:rsidRPr="00041A7C">
        <w:br/>
        <w:t xml:space="preserve">na </w:t>
      </w:r>
      <w:r w:rsidRPr="00041A7C">
        <w:rPr>
          <w:sz w:val="22"/>
          <w:szCs w:val="22"/>
        </w:rPr>
        <w:t>rachunek bankowy</w:t>
      </w:r>
      <w:r w:rsidRPr="009F1E39">
        <w:rPr>
          <w:sz w:val="22"/>
          <w:szCs w:val="22"/>
        </w:rPr>
        <w:t xml:space="preserve">:  </w:t>
      </w:r>
      <w:r w:rsidRPr="002E6083">
        <w:t xml:space="preserve">Bank </w:t>
      </w:r>
      <w:proofErr w:type="spellStart"/>
      <w:r w:rsidRPr="002E6083">
        <w:t>PeKaO</w:t>
      </w:r>
      <w:proofErr w:type="spellEnd"/>
      <w:r w:rsidRPr="002E6083">
        <w:t xml:space="preserve"> SA I o/ Ś-</w:t>
      </w:r>
      <w:proofErr w:type="spellStart"/>
      <w:r w:rsidRPr="002E6083">
        <w:t>cie</w:t>
      </w:r>
      <w:proofErr w:type="spellEnd"/>
      <w:r w:rsidRPr="002E6083">
        <w:t xml:space="preserve"> nr </w:t>
      </w:r>
      <w:r w:rsidR="009E5139" w:rsidRPr="007E52A1">
        <w:t>63 1240 3914 1111 0000 3088 5813</w:t>
      </w:r>
      <w:r>
        <w:t>.</w:t>
      </w:r>
    </w:p>
    <w:p w:rsidR="00041A7C" w:rsidRDefault="00041A7C" w:rsidP="00041A7C">
      <w:pPr>
        <w:pStyle w:val="Tekstpodstawowy"/>
        <w:tabs>
          <w:tab w:val="left" w:pos="9214"/>
        </w:tabs>
        <w:spacing w:line="276" w:lineRule="auto"/>
        <w:jc w:val="both"/>
        <w:rPr>
          <w:sz w:val="24"/>
        </w:rPr>
      </w:pPr>
    </w:p>
    <w:p w:rsidR="00041A7C" w:rsidRPr="00920FFD" w:rsidRDefault="00041A7C" w:rsidP="00041A7C">
      <w:pPr>
        <w:pStyle w:val="Tekstpodstawowy2"/>
        <w:numPr>
          <w:ilvl w:val="0"/>
          <w:numId w:val="22"/>
        </w:numPr>
        <w:spacing w:after="0" w:line="276" w:lineRule="auto"/>
        <w:jc w:val="both"/>
        <w:rPr>
          <w:b/>
          <w:bCs/>
        </w:rPr>
      </w:pPr>
      <w:r w:rsidRPr="00920FFD">
        <w:rPr>
          <w:b/>
          <w:bCs/>
        </w:rPr>
        <w:t>WARUNKI UDZIAŁU W PRZETARGU:</w:t>
      </w:r>
    </w:p>
    <w:p w:rsidR="00041A7C" w:rsidRDefault="00041A7C" w:rsidP="00CB1AFB">
      <w:pPr>
        <w:pStyle w:val="Tekstpodstawowy"/>
        <w:numPr>
          <w:ilvl w:val="0"/>
          <w:numId w:val="19"/>
        </w:numPr>
        <w:tabs>
          <w:tab w:val="clear" w:pos="644"/>
          <w:tab w:val="num" w:pos="426"/>
          <w:tab w:val="left" w:pos="9214"/>
        </w:tabs>
        <w:spacing w:line="276" w:lineRule="auto"/>
        <w:ind w:hanging="644"/>
        <w:jc w:val="both"/>
        <w:rPr>
          <w:sz w:val="24"/>
        </w:rPr>
      </w:pPr>
      <w:r w:rsidRPr="00900025">
        <w:rPr>
          <w:sz w:val="24"/>
        </w:rPr>
        <w:t>W przetargu mogą brać udział</w:t>
      </w:r>
      <w:r w:rsidRPr="00246DDE">
        <w:rPr>
          <w:b/>
          <w:sz w:val="24"/>
        </w:rPr>
        <w:t xml:space="preserve"> </w:t>
      </w:r>
      <w:r w:rsidRPr="00900025">
        <w:rPr>
          <w:b/>
          <w:sz w:val="24"/>
        </w:rPr>
        <w:t>wyłącznie</w:t>
      </w:r>
      <w:r w:rsidRPr="00900025">
        <w:rPr>
          <w:sz w:val="24"/>
        </w:rPr>
        <w:t xml:space="preserve"> osoby</w:t>
      </w:r>
      <w:r>
        <w:rPr>
          <w:sz w:val="24"/>
        </w:rPr>
        <w:t>:</w:t>
      </w:r>
    </w:p>
    <w:p w:rsidR="00041A7C" w:rsidRDefault="00041A7C" w:rsidP="00CB1AFB">
      <w:pPr>
        <w:pStyle w:val="Tekstpodstawowy"/>
        <w:numPr>
          <w:ilvl w:val="0"/>
          <w:numId w:val="21"/>
        </w:numPr>
        <w:tabs>
          <w:tab w:val="left" w:pos="9214"/>
        </w:tabs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>niebędące</w:t>
      </w:r>
      <w:r w:rsidRPr="00900025">
        <w:rPr>
          <w:sz w:val="24"/>
        </w:rPr>
        <w:t xml:space="preserve"> dłużnikami TBS LOKUM sp. z o.o.</w:t>
      </w:r>
      <w:r w:rsidR="009E5139">
        <w:rPr>
          <w:sz w:val="24"/>
        </w:rPr>
        <w:t xml:space="preserve"> oraz Gminy Miasta Świnoujście</w:t>
      </w:r>
      <w:r>
        <w:rPr>
          <w:sz w:val="24"/>
        </w:rPr>
        <w:t xml:space="preserve">; </w:t>
      </w:r>
    </w:p>
    <w:p w:rsidR="009E5139" w:rsidRDefault="009E5139" w:rsidP="00CB1AFB">
      <w:pPr>
        <w:pStyle w:val="Tekstpodstawowy"/>
        <w:numPr>
          <w:ilvl w:val="0"/>
          <w:numId w:val="21"/>
        </w:numPr>
        <w:tabs>
          <w:tab w:val="left" w:pos="9214"/>
        </w:tabs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 xml:space="preserve">nieposiadające zaległości podatkowych oraz zaległości z tytułu składek </w:t>
      </w:r>
      <w:r w:rsidR="008A3792">
        <w:rPr>
          <w:sz w:val="24"/>
        </w:rPr>
        <w:br/>
      </w:r>
      <w:r>
        <w:rPr>
          <w:sz w:val="24"/>
        </w:rPr>
        <w:t>na ubezpieczenie społeczne w związku z prowadzoną działalnością gospodarczą;</w:t>
      </w:r>
    </w:p>
    <w:p w:rsidR="00041A7C" w:rsidRDefault="00041A7C" w:rsidP="00CB1AFB">
      <w:pPr>
        <w:pStyle w:val="Tekstpodstawowy"/>
        <w:numPr>
          <w:ilvl w:val="0"/>
          <w:numId w:val="21"/>
        </w:numPr>
        <w:tabs>
          <w:tab w:val="left" w:pos="9214"/>
        </w:tabs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lastRenderedPageBreak/>
        <w:t>posiadające zdolność do czynności prawnych lub ich pełnomocnicy, na podstawie pisemnego pełnomocnictwa udzielonego z notarialnie poświadczonym podpisem.</w:t>
      </w:r>
    </w:p>
    <w:p w:rsidR="00041A7C" w:rsidRPr="009E5139" w:rsidRDefault="008A3792" w:rsidP="00B34898">
      <w:pPr>
        <w:pStyle w:val="Tekstpodstawowy"/>
        <w:numPr>
          <w:ilvl w:val="0"/>
          <w:numId w:val="19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>Uwzględnieniu</w:t>
      </w:r>
      <w:r w:rsidR="00041A7C">
        <w:rPr>
          <w:sz w:val="24"/>
        </w:rPr>
        <w:t xml:space="preserve"> podlegają jedynie ważne</w:t>
      </w:r>
      <w:r w:rsidR="00041A7C" w:rsidRPr="00900025">
        <w:rPr>
          <w:sz w:val="24"/>
        </w:rPr>
        <w:t xml:space="preserve"> oferty, </w:t>
      </w:r>
      <w:r w:rsidR="00041A7C">
        <w:rPr>
          <w:sz w:val="24"/>
        </w:rPr>
        <w:t xml:space="preserve">złożone w wyznaczonym terminie, </w:t>
      </w:r>
      <w:r w:rsidR="00041A7C" w:rsidRPr="00900025">
        <w:rPr>
          <w:sz w:val="24"/>
        </w:rPr>
        <w:t>wy</w:t>
      </w:r>
      <w:r w:rsidR="00041A7C">
        <w:rPr>
          <w:sz w:val="24"/>
        </w:rPr>
        <w:t>pełnione</w:t>
      </w:r>
      <w:r w:rsidR="00041A7C" w:rsidRPr="00900025">
        <w:rPr>
          <w:sz w:val="24"/>
        </w:rPr>
        <w:t xml:space="preserve"> zgodnie</w:t>
      </w:r>
      <w:r w:rsidR="00041A7C">
        <w:rPr>
          <w:sz w:val="24"/>
        </w:rPr>
        <w:t xml:space="preserve"> </w:t>
      </w:r>
      <w:r w:rsidR="00041A7C" w:rsidRPr="00900025">
        <w:rPr>
          <w:sz w:val="24"/>
        </w:rPr>
        <w:t>z warunkami określonymi</w:t>
      </w:r>
      <w:r w:rsidR="00041A7C">
        <w:rPr>
          <w:sz w:val="24"/>
        </w:rPr>
        <w:t xml:space="preserve"> w „Regulaminie </w:t>
      </w:r>
      <w:r w:rsidR="009E5139" w:rsidRPr="009E5139">
        <w:rPr>
          <w:sz w:val="24"/>
        </w:rPr>
        <w:t>przetargu na najem lokalu użytkowego w Świnoujściu przy ul. Bohaterów Września 6 Nr 205 – pierwszy przetarg pisemny nieograniczony</w:t>
      </w:r>
      <w:r w:rsidR="00041A7C" w:rsidRPr="009E5139">
        <w:rPr>
          <w:sz w:val="24"/>
        </w:rPr>
        <w:t>” zgodnie z </w:t>
      </w:r>
      <w:r w:rsidR="00041A7C" w:rsidRPr="009E5139">
        <w:rPr>
          <w:b/>
          <w:sz w:val="24"/>
        </w:rPr>
        <w:t xml:space="preserve">Załącznikiem nr </w:t>
      </w:r>
      <w:r w:rsidR="009E5139">
        <w:rPr>
          <w:b/>
          <w:sz w:val="24"/>
        </w:rPr>
        <w:t>2</w:t>
      </w:r>
      <w:r w:rsidR="00041A7C" w:rsidRPr="009E5139">
        <w:rPr>
          <w:sz w:val="24"/>
        </w:rPr>
        <w:t xml:space="preserve"> </w:t>
      </w:r>
      <w:r w:rsidR="00041A7C" w:rsidRPr="009E5139">
        <w:rPr>
          <w:b/>
          <w:sz w:val="24"/>
        </w:rPr>
        <w:t xml:space="preserve">(formularz Oferty) </w:t>
      </w:r>
      <w:r>
        <w:rPr>
          <w:b/>
          <w:sz w:val="24"/>
        </w:rPr>
        <w:br/>
      </w:r>
      <w:r w:rsidR="00041A7C" w:rsidRPr="009E5139">
        <w:rPr>
          <w:sz w:val="24"/>
        </w:rPr>
        <w:t>do Regulaminu przetargu.</w:t>
      </w:r>
    </w:p>
    <w:p w:rsidR="00041A7C" w:rsidRPr="00DD63FC" w:rsidRDefault="00041A7C" w:rsidP="00CB1AFB">
      <w:pPr>
        <w:pStyle w:val="Tekstpodstawowy"/>
        <w:numPr>
          <w:ilvl w:val="0"/>
          <w:numId w:val="19"/>
        </w:numPr>
        <w:tabs>
          <w:tab w:val="clear" w:pos="644"/>
          <w:tab w:val="num" w:pos="426"/>
          <w:tab w:val="left" w:pos="9214"/>
        </w:tabs>
        <w:spacing w:line="276" w:lineRule="auto"/>
        <w:ind w:left="426" w:hanging="426"/>
        <w:jc w:val="both"/>
        <w:rPr>
          <w:sz w:val="24"/>
        </w:rPr>
      </w:pPr>
      <w:r w:rsidRPr="000B03C4">
        <w:rPr>
          <w:sz w:val="24"/>
        </w:rPr>
        <w:t xml:space="preserve">Oferta winna zawierać: </w:t>
      </w:r>
    </w:p>
    <w:p w:rsidR="00041A7C" w:rsidRPr="00A32D1C" w:rsidRDefault="00CB1AFB" w:rsidP="00CB1AFB">
      <w:pPr>
        <w:pStyle w:val="Tekstpodstawowy"/>
        <w:numPr>
          <w:ilvl w:val="0"/>
          <w:numId w:val="20"/>
        </w:numPr>
        <w:spacing w:line="276" w:lineRule="auto"/>
        <w:ind w:left="709" w:hanging="283"/>
        <w:jc w:val="both"/>
        <w:rPr>
          <w:sz w:val="24"/>
        </w:rPr>
      </w:pPr>
      <w:r>
        <w:rPr>
          <w:bCs/>
          <w:iCs/>
          <w:sz w:val="24"/>
        </w:rPr>
        <w:t>w</w:t>
      </w:r>
      <w:r w:rsidR="00041A7C">
        <w:rPr>
          <w:bCs/>
          <w:iCs/>
          <w:sz w:val="24"/>
        </w:rPr>
        <w:t xml:space="preserve">ypełniony i podpisany formularz </w:t>
      </w:r>
      <w:r w:rsidR="00041A7C" w:rsidRPr="00A32D1C">
        <w:rPr>
          <w:b/>
          <w:bCs/>
          <w:iCs/>
          <w:sz w:val="24"/>
        </w:rPr>
        <w:t>Oferty</w:t>
      </w:r>
      <w:r w:rsidR="00041A7C" w:rsidRPr="00A32D1C">
        <w:rPr>
          <w:b/>
          <w:sz w:val="24"/>
        </w:rPr>
        <w:t xml:space="preserve"> </w:t>
      </w:r>
      <w:r w:rsidR="00041A7C">
        <w:rPr>
          <w:b/>
          <w:sz w:val="24"/>
        </w:rPr>
        <w:t xml:space="preserve">- </w:t>
      </w:r>
      <w:r w:rsidR="00041A7C" w:rsidRPr="00FF23A7">
        <w:rPr>
          <w:b/>
          <w:sz w:val="24"/>
        </w:rPr>
        <w:t xml:space="preserve">Załącznik nr </w:t>
      </w:r>
      <w:r w:rsidR="009E5139">
        <w:rPr>
          <w:b/>
          <w:sz w:val="24"/>
        </w:rPr>
        <w:t>2</w:t>
      </w:r>
      <w:r w:rsidR="00041A7C">
        <w:rPr>
          <w:bCs/>
          <w:iCs/>
          <w:sz w:val="24"/>
        </w:rPr>
        <w:t xml:space="preserve"> (d</w:t>
      </w:r>
      <w:r w:rsidR="00041A7C" w:rsidRPr="000B03C4">
        <w:rPr>
          <w:bCs/>
          <w:iCs/>
          <w:sz w:val="24"/>
        </w:rPr>
        <w:t>ane o oferencie</w:t>
      </w:r>
      <w:r w:rsidR="00041A7C">
        <w:rPr>
          <w:bCs/>
          <w:iCs/>
          <w:sz w:val="24"/>
        </w:rPr>
        <w:t xml:space="preserve">, </w:t>
      </w:r>
      <w:r w:rsidR="00041A7C" w:rsidRPr="00A32D1C">
        <w:rPr>
          <w:bCs/>
          <w:iCs/>
          <w:sz w:val="24"/>
        </w:rPr>
        <w:t xml:space="preserve">proponowaną stawkę czynszu </w:t>
      </w:r>
      <w:r w:rsidR="009E5139">
        <w:rPr>
          <w:bCs/>
          <w:iCs/>
          <w:sz w:val="24"/>
        </w:rPr>
        <w:t>najmu</w:t>
      </w:r>
      <w:r w:rsidR="00041A7C" w:rsidRPr="00A32D1C">
        <w:rPr>
          <w:bCs/>
          <w:iCs/>
          <w:sz w:val="24"/>
        </w:rPr>
        <w:t>,</w:t>
      </w:r>
      <w:r w:rsidR="00041A7C">
        <w:rPr>
          <w:bCs/>
          <w:iCs/>
          <w:sz w:val="24"/>
        </w:rPr>
        <w:t xml:space="preserve"> niezbędne </w:t>
      </w:r>
      <w:r w:rsidR="00041A7C">
        <w:rPr>
          <w:sz w:val="24"/>
        </w:rPr>
        <w:t>oświadczenia</w:t>
      </w:r>
      <w:r w:rsidR="006141FC">
        <w:rPr>
          <w:sz w:val="24"/>
        </w:rPr>
        <w:t>)</w:t>
      </w:r>
      <w:r w:rsidR="00041A7C">
        <w:rPr>
          <w:sz w:val="24"/>
        </w:rPr>
        <w:t>,</w:t>
      </w:r>
    </w:p>
    <w:p w:rsidR="00041A7C" w:rsidRDefault="00041A7C" w:rsidP="00CB1AFB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</w:pPr>
      <w:r w:rsidRPr="00DD63FC">
        <w:rPr>
          <w:bCs/>
          <w:iCs/>
        </w:rPr>
        <w:t>potwierdzenie wpłaty wadium</w:t>
      </w:r>
      <w:r w:rsidRPr="000B03C4">
        <w:t>,</w:t>
      </w:r>
    </w:p>
    <w:p w:rsidR="00041A7C" w:rsidRDefault="00041A7C" w:rsidP="00CB1AFB">
      <w:pPr>
        <w:pStyle w:val="Akapitzlist"/>
        <w:numPr>
          <w:ilvl w:val="0"/>
          <w:numId w:val="20"/>
        </w:numPr>
        <w:spacing w:line="276" w:lineRule="auto"/>
        <w:ind w:left="709" w:hanging="283"/>
        <w:jc w:val="both"/>
      </w:pPr>
      <w:r>
        <w:t>ewentualnie niezbędne zgody małżonki/ka lub pełnomocnictwo.</w:t>
      </w:r>
    </w:p>
    <w:p w:rsidR="00041A7C" w:rsidRPr="00B34898" w:rsidRDefault="00041A7C" w:rsidP="00CB1AFB">
      <w:pPr>
        <w:pStyle w:val="Akapitzlist"/>
        <w:numPr>
          <w:ilvl w:val="0"/>
          <w:numId w:val="19"/>
        </w:numPr>
        <w:tabs>
          <w:tab w:val="clear" w:pos="644"/>
          <w:tab w:val="num" w:pos="426"/>
        </w:tabs>
        <w:spacing w:line="276" w:lineRule="auto"/>
        <w:ind w:left="426" w:hanging="426"/>
        <w:jc w:val="both"/>
        <w:rPr>
          <w:bCs/>
          <w:color w:val="FF0000"/>
        </w:rPr>
      </w:pPr>
      <w:r w:rsidRPr="00B34898">
        <w:rPr>
          <w:bCs/>
          <w:color w:val="FF0000"/>
        </w:rPr>
        <w:t xml:space="preserve">Oferty w zamkniętej kopercie z napisem </w:t>
      </w:r>
      <w:r w:rsidRPr="00B34898">
        <w:rPr>
          <w:color w:val="FF0000"/>
        </w:rPr>
        <w:t>„</w:t>
      </w:r>
      <w:r w:rsidR="009E5139" w:rsidRPr="00B34898">
        <w:rPr>
          <w:color w:val="FF0000"/>
        </w:rPr>
        <w:t>Przetarg na najem lokalu użytkowego w Świnoujściu przy ul. Boh. Września 6 Nr 205 w Świnoujściu</w:t>
      </w:r>
      <w:r w:rsidRPr="00B34898">
        <w:rPr>
          <w:color w:val="FF0000"/>
        </w:rPr>
        <w:t xml:space="preserve">” </w:t>
      </w:r>
      <w:r w:rsidR="009E5139" w:rsidRPr="00B34898">
        <w:rPr>
          <w:bCs/>
          <w:color w:val="FF0000"/>
        </w:rPr>
        <w:t>należy złożyć w </w:t>
      </w:r>
      <w:r w:rsidRPr="00B34898">
        <w:rPr>
          <w:bCs/>
          <w:color w:val="FF0000"/>
        </w:rPr>
        <w:t>siedzibie TBS LOKUM sp. z o.o., ul. Wyspiańskiego 35C w Świnoujściu, w terminie do dnia</w:t>
      </w:r>
      <w:r w:rsidR="006141FC">
        <w:rPr>
          <w:bCs/>
          <w:color w:val="FF0000"/>
        </w:rPr>
        <w:t>:</w:t>
      </w:r>
    </w:p>
    <w:p w:rsidR="00041A7C" w:rsidRPr="00B34898" w:rsidRDefault="00041A7C" w:rsidP="00041A7C">
      <w:pPr>
        <w:pStyle w:val="Akapitzlist"/>
        <w:spacing w:line="276" w:lineRule="auto"/>
        <w:ind w:left="644"/>
        <w:jc w:val="both"/>
        <w:rPr>
          <w:bCs/>
          <w:color w:val="FF0000"/>
        </w:rPr>
      </w:pPr>
    </w:p>
    <w:p w:rsidR="00041A7C" w:rsidRPr="00B34898" w:rsidRDefault="00CB1AFB" w:rsidP="00B34898">
      <w:pPr>
        <w:spacing w:line="276" w:lineRule="auto"/>
        <w:jc w:val="center"/>
        <w:rPr>
          <w:b/>
          <w:bCs/>
          <w:color w:val="FF0000"/>
          <w:sz w:val="32"/>
          <w:szCs w:val="32"/>
          <w:u w:val="single"/>
        </w:rPr>
      </w:pPr>
      <w:r w:rsidRPr="00B34898">
        <w:rPr>
          <w:b/>
          <w:bCs/>
          <w:color w:val="FF0000"/>
          <w:sz w:val="32"/>
          <w:szCs w:val="32"/>
          <w:u w:val="single"/>
        </w:rPr>
        <w:t>15 lutego 2022 r.</w:t>
      </w:r>
    </w:p>
    <w:p w:rsidR="00CB1AFB" w:rsidRPr="00B34898" w:rsidRDefault="00CB1AFB" w:rsidP="00B34898">
      <w:pPr>
        <w:spacing w:line="276" w:lineRule="auto"/>
        <w:jc w:val="center"/>
        <w:rPr>
          <w:b/>
          <w:bCs/>
          <w:color w:val="FF0000"/>
          <w:sz w:val="32"/>
          <w:szCs w:val="32"/>
          <w:u w:val="single"/>
        </w:rPr>
      </w:pPr>
    </w:p>
    <w:p w:rsidR="00041A7C" w:rsidRDefault="00041A7C" w:rsidP="00B34898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</w:pPr>
      <w:r>
        <w:t xml:space="preserve">W przypadku zawarcia umowy </w:t>
      </w:r>
      <w:r w:rsidR="009E5139">
        <w:t>najmu</w:t>
      </w:r>
      <w:r>
        <w:t xml:space="preserve">, wadium zostanie zaksięgowane jako kaucja </w:t>
      </w:r>
      <w:r>
        <w:br/>
        <w:t>zabezpieczająca wykonanie umowy, do rozliczenia po jej zakończeniu.</w:t>
      </w:r>
    </w:p>
    <w:p w:rsidR="00041A7C" w:rsidRDefault="00041A7C" w:rsidP="00B34898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</w:pPr>
      <w:r>
        <w:t xml:space="preserve">W przypadku uchylenia się wybranego oferenta od zawarcia umowy </w:t>
      </w:r>
      <w:r w:rsidR="009E5139">
        <w:t>najmu</w:t>
      </w:r>
      <w:r>
        <w:t xml:space="preserve"> w terminie wskazanym w zawiadomieniu o rozstrzygnięciu przetargu – wadium ulega przepadkowi.</w:t>
      </w:r>
    </w:p>
    <w:p w:rsidR="00041A7C" w:rsidRDefault="00041A7C" w:rsidP="00B34898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</w:pPr>
      <w:r w:rsidRPr="00CD2D0A">
        <w:t xml:space="preserve">Umowa </w:t>
      </w:r>
      <w:r w:rsidR="00CB1AFB">
        <w:t xml:space="preserve">najmu </w:t>
      </w:r>
      <w:r>
        <w:t xml:space="preserve">zostanie zawarta </w:t>
      </w:r>
      <w:r w:rsidRPr="00CD2D0A">
        <w:t xml:space="preserve">na czas </w:t>
      </w:r>
      <w:r w:rsidR="00CB1AFB">
        <w:t>nieokreślony</w:t>
      </w:r>
      <w:r w:rsidRPr="00CD2D0A">
        <w:t xml:space="preserve"> </w:t>
      </w:r>
      <w:r>
        <w:t>(</w:t>
      </w:r>
      <w:r w:rsidRPr="00CB1AFB">
        <w:rPr>
          <w:b/>
        </w:rPr>
        <w:t>Załącznik nr 2</w:t>
      </w:r>
      <w:r>
        <w:t xml:space="preserve"> – do Regulaminu przetargu - wzór umowy).</w:t>
      </w:r>
    </w:p>
    <w:p w:rsidR="00041A7C" w:rsidRPr="003B583F" w:rsidRDefault="00041A7C" w:rsidP="00B34898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</w:pPr>
      <w:r w:rsidRPr="00B34898">
        <w:rPr>
          <w:rFonts w:eastAsiaTheme="minorHAnsi"/>
          <w:color w:val="000000"/>
          <w:lang w:eastAsia="en-US"/>
        </w:rPr>
        <w:t>Opłaty obciążające bezpośrednio Najemcę:</w:t>
      </w:r>
    </w:p>
    <w:p w:rsidR="00CB1AFB" w:rsidRPr="00C56421" w:rsidRDefault="006141FC" w:rsidP="00B34898">
      <w:pPr>
        <w:pStyle w:val="Akapitzlist"/>
        <w:numPr>
          <w:ilvl w:val="0"/>
          <w:numId w:val="30"/>
        </w:numPr>
        <w:tabs>
          <w:tab w:val="clear" w:pos="644"/>
          <w:tab w:val="num" w:pos="851"/>
        </w:tabs>
        <w:autoSpaceDE w:val="0"/>
        <w:autoSpaceDN w:val="0"/>
        <w:adjustRightInd w:val="0"/>
        <w:spacing w:after="13" w:line="276" w:lineRule="auto"/>
        <w:ind w:hanging="7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</w:t>
      </w:r>
      <w:r w:rsidR="00CB1AFB" w:rsidRPr="00C56421">
        <w:rPr>
          <w:rFonts w:eastAsiaTheme="minorHAnsi"/>
          <w:color w:val="000000"/>
          <w:lang w:eastAsia="en-US"/>
        </w:rPr>
        <w:t>odatek od nieruchomości - na rzecz Gminy Miasto Świnoujście w wysokości ustalon</w:t>
      </w:r>
      <w:r w:rsidR="00CB1AFB">
        <w:rPr>
          <w:rFonts w:eastAsiaTheme="minorHAnsi"/>
          <w:color w:val="000000"/>
          <w:lang w:eastAsia="en-US"/>
        </w:rPr>
        <w:t>ej przepisami prawa miejscowego;</w:t>
      </w:r>
    </w:p>
    <w:p w:rsidR="00CB1AFB" w:rsidRPr="00C56421" w:rsidRDefault="006141FC" w:rsidP="00B34898">
      <w:pPr>
        <w:numPr>
          <w:ilvl w:val="0"/>
          <w:numId w:val="30"/>
        </w:numPr>
        <w:tabs>
          <w:tab w:val="clear" w:pos="644"/>
          <w:tab w:val="num" w:pos="851"/>
        </w:tabs>
        <w:spacing w:line="276" w:lineRule="auto"/>
        <w:ind w:hanging="77"/>
        <w:jc w:val="both"/>
      </w:pPr>
      <w:r>
        <w:t>o</w:t>
      </w:r>
      <w:r w:rsidR="00CB1AFB" w:rsidRPr="00C56421">
        <w:t xml:space="preserve">płaty za </w:t>
      </w:r>
      <w:r w:rsidR="00CB1AFB">
        <w:t>usługi</w:t>
      </w:r>
      <w:r w:rsidR="00CB1AFB" w:rsidRPr="00C56421">
        <w:t xml:space="preserve"> </w:t>
      </w:r>
      <w:r w:rsidR="00CB1AFB">
        <w:t>np. za usługi telekomunikacyjne, ubezpieczenie sprzętu itp.</w:t>
      </w:r>
    </w:p>
    <w:p w:rsidR="00041A7C" w:rsidRPr="00B34898" w:rsidRDefault="00041A7C" w:rsidP="00CB1AFB">
      <w:pPr>
        <w:pStyle w:val="Akapitzlist"/>
        <w:numPr>
          <w:ilvl w:val="0"/>
          <w:numId w:val="19"/>
        </w:numPr>
        <w:tabs>
          <w:tab w:val="clear" w:pos="644"/>
          <w:tab w:val="num" w:pos="284"/>
        </w:tabs>
        <w:spacing w:line="276" w:lineRule="auto"/>
        <w:ind w:left="284" w:hanging="284"/>
        <w:jc w:val="both"/>
      </w:pPr>
      <w:r>
        <w:rPr>
          <w:b/>
        </w:rPr>
        <w:t>Zastrzega się prawo do odwołania, zmiany, unieważnienia lub zamknięcia postępowania przetargowego w każdym czasie z ważnych powodów.</w:t>
      </w:r>
    </w:p>
    <w:p w:rsidR="00CB1AFB" w:rsidRDefault="00CB1AFB" w:rsidP="00B34898">
      <w:pPr>
        <w:spacing w:line="276" w:lineRule="auto"/>
        <w:jc w:val="both"/>
      </w:pPr>
    </w:p>
    <w:p w:rsidR="00CB1AFB" w:rsidRPr="00B34898" w:rsidRDefault="00CB1AFB" w:rsidP="00CB1AFB">
      <w:pPr>
        <w:widowControl w:val="0"/>
        <w:jc w:val="both"/>
        <w:rPr>
          <w:b/>
          <w:u w:val="single"/>
        </w:rPr>
      </w:pPr>
      <w:r w:rsidRPr="00B34898">
        <w:rPr>
          <w:rFonts w:eastAsia="Lucida Sans Unicode"/>
          <w:b/>
          <w:u w:val="single"/>
        </w:rPr>
        <w:t>Integralną część niniejszego ogłoszenia stanowi „</w:t>
      </w:r>
      <w:r w:rsidRPr="00CB1AFB">
        <w:rPr>
          <w:b/>
          <w:bCs/>
          <w:u w:val="single"/>
        </w:rPr>
        <w:t>Regulaminie przetargu na najem lokalu użytkowego w Świnoujściu przy ul. Bohaterów Września 6 Nr 205 – pierwszy przetarg pisemny nieograniczony</w:t>
      </w:r>
      <w:r w:rsidRPr="00B34898">
        <w:rPr>
          <w:b/>
          <w:bCs/>
          <w:u w:val="single"/>
        </w:rPr>
        <w:t>” wraz z załącznikami.</w:t>
      </w:r>
    </w:p>
    <w:p w:rsidR="00CB1AFB" w:rsidRDefault="00CB1AFB" w:rsidP="00B34898">
      <w:pPr>
        <w:spacing w:line="276" w:lineRule="auto"/>
        <w:jc w:val="both"/>
      </w:pPr>
    </w:p>
    <w:p w:rsidR="00041A7C" w:rsidRDefault="00041A7C" w:rsidP="00041A7C">
      <w:pPr>
        <w:spacing w:line="276" w:lineRule="auto"/>
        <w:jc w:val="both"/>
        <w:rPr>
          <w:b/>
          <w:i/>
        </w:rPr>
      </w:pPr>
    </w:p>
    <w:p w:rsidR="00041A7C" w:rsidRDefault="00041A7C" w:rsidP="00A47ACD">
      <w:pPr>
        <w:spacing w:line="276" w:lineRule="auto"/>
        <w:jc w:val="both"/>
      </w:pPr>
    </w:p>
    <w:p w:rsidR="0009309C" w:rsidRPr="008A3792" w:rsidRDefault="008A3792" w:rsidP="00D05899">
      <w:pPr>
        <w:pStyle w:val="Tekstpodstawowywcity2"/>
        <w:spacing w:line="276" w:lineRule="auto"/>
        <w:ind w:left="0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bookmarkStart w:id="0" w:name="_GoBack"/>
      <w:bookmarkEnd w:id="0"/>
      <w:r w:rsidRPr="008A3792">
        <w:rPr>
          <w:b/>
          <w:bCs/>
        </w:rPr>
        <w:t>Prezes Zarządu</w:t>
      </w:r>
    </w:p>
    <w:p w:rsidR="008A3792" w:rsidRPr="008A3792" w:rsidRDefault="008A3792" w:rsidP="00D05899">
      <w:pPr>
        <w:pStyle w:val="Tekstpodstawowywcity2"/>
        <w:spacing w:line="276" w:lineRule="auto"/>
        <w:ind w:left="0"/>
        <w:jc w:val="both"/>
        <w:rPr>
          <w:b/>
          <w:bCs/>
        </w:rPr>
      </w:pPr>
      <w:r w:rsidRPr="008A3792">
        <w:rPr>
          <w:b/>
          <w:bCs/>
        </w:rPr>
        <w:tab/>
      </w:r>
      <w:r w:rsidRPr="008A3792">
        <w:rPr>
          <w:b/>
          <w:bCs/>
        </w:rPr>
        <w:tab/>
      </w:r>
      <w:r w:rsidRPr="008A3792">
        <w:rPr>
          <w:b/>
          <w:bCs/>
        </w:rPr>
        <w:tab/>
      </w:r>
      <w:r w:rsidRPr="008A3792">
        <w:rPr>
          <w:b/>
          <w:bCs/>
        </w:rPr>
        <w:tab/>
      </w:r>
      <w:r w:rsidRPr="008A3792">
        <w:rPr>
          <w:b/>
          <w:bCs/>
        </w:rPr>
        <w:tab/>
      </w:r>
      <w:r w:rsidRPr="008A3792">
        <w:rPr>
          <w:b/>
          <w:bCs/>
        </w:rPr>
        <w:tab/>
        <w:t>Jolanta Kraszewska - Jurkowska</w:t>
      </w:r>
    </w:p>
    <w:sectPr w:rsidR="008A3792" w:rsidRPr="008A3792" w:rsidSect="00704A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85" w:right="1418" w:bottom="1021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FB" w:rsidRDefault="001B48FB" w:rsidP="00132A26">
      <w:r>
        <w:separator/>
      </w:r>
    </w:p>
  </w:endnote>
  <w:endnote w:type="continuationSeparator" w:id="0">
    <w:p w:rsidR="001B48FB" w:rsidRDefault="001B48FB" w:rsidP="0013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FB" w:rsidRDefault="001B48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48FB" w:rsidRDefault="001B48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FB" w:rsidRDefault="001B48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379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B48FB" w:rsidRDefault="001B48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FB" w:rsidRDefault="001B48F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3792">
      <w:rPr>
        <w:noProof/>
      </w:rPr>
      <w:t>1</w:t>
    </w:r>
    <w:r>
      <w:rPr>
        <w:noProof/>
      </w:rPr>
      <w:fldChar w:fldCharType="end"/>
    </w:r>
  </w:p>
  <w:p w:rsidR="001B48FB" w:rsidRDefault="001B48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FB" w:rsidRDefault="001B48FB" w:rsidP="00132A26">
      <w:r>
        <w:separator/>
      </w:r>
    </w:p>
  </w:footnote>
  <w:footnote w:type="continuationSeparator" w:id="0">
    <w:p w:rsidR="001B48FB" w:rsidRDefault="001B48FB" w:rsidP="00132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FB" w:rsidRDefault="001B48FB">
    <w:pPr>
      <w:pStyle w:val="Nagwek"/>
    </w:pPr>
  </w:p>
  <w:p w:rsidR="001B48FB" w:rsidRDefault="001B48FB" w:rsidP="00052F68">
    <w:pPr>
      <w:pStyle w:val="Nagwek"/>
      <w:tabs>
        <w:tab w:val="clear" w:pos="4536"/>
        <w:tab w:val="clear" w:pos="9072"/>
        <w:tab w:val="left" w:pos="6452"/>
      </w:tabs>
    </w:pPr>
    <w:r>
      <w:rPr>
        <w:noProof/>
        <w:color w:val="000000"/>
        <w:sz w:val="27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FB" w:rsidRDefault="001B48FB">
    <w:pPr>
      <w:pStyle w:val="Nagwek"/>
    </w:pPr>
  </w:p>
  <w:p w:rsidR="001B48FB" w:rsidRDefault="001B48FB">
    <w:pPr>
      <w:pStyle w:val="Nagwek"/>
    </w:pPr>
    <w:r w:rsidRPr="00D4670C">
      <w:rPr>
        <w:noProof/>
        <w:w w:val="105"/>
      </w:rPr>
      <w:drawing>
        <wp:inline distT="0" distB="0" distL="0" distR="0" wp14:anchorId="0F295B31" wp14:editId="409C2C09">
          <wp:extent cx="1397251" cy="940777"/>
          <wp:effectExtent l="0" t="0" r="0" b="0"/>
          <wp:docPr id="27" name="Obraz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746" cy="9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01629B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decimal"/>
      <w:lvlText w:val="%3)"/>
      <w:lvlJc w:val="left"/>
      <w:pPr>
        <w:ind w:left="2264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>
      <w:start w:val="15"/>
      <w:numFmt w:val="decimal"/>
      <w:lvlText w:val="%5"/>
      <w:lvlJc w:val="left"/>
      <w:pPr>
        <w:ind w:left="3524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610244"/>
    <w:multiLevelType w:val="multilevel"/>
    <w:tmpl w:val="287C89C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decimal"/>
      <w:lvlText w:val="%3)"/>
      <w:lvlJc w:val="left"/>
      <w:pPr>
        <w:ind w:left="2264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C2471B"/>
    <w:multiLevelType w:val="hybridMultilevel"/>
    <w:tmpl w:val="C8DE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F7E"/>
    <w:multiLevelType w:val="hybridMultilevel"/>
    <w:tmpl w:val="BD24C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74039"/>
    <w:multiLevelType w:val="hybridMultilevel"/>
    <w:tmpl w:val="2ABCB5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DC6182"/>
    <w:multiLevelType w:val="hybridMultilevel"/>
    <w:tmpl w:val="0CB61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6712D"/>
    <w:multiLevelType w:val="hybridMultilevel"/>
    <w:tmpl w:val="27621D8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01360"/>
    <w:multiLevelType w:val="hybridMultilevel"/>
    <w:tmpl w:val="5AD887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991A9A"/>
    <w:multiLevelType w:val="hybridMultilevel"/>
    <w:tmpl w:val="F6E2C806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751419"/>
    <w:multiLevelType w:val="hybridMultilevel"/>
    <w:tmpl w:val="5F5489E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06036C3"/>
    <w:multiLevelType w:val="hybridMultilevel"/>
    <w:tmpl w:val="85EAEC98"/>
    <w:lvl w:ilvl="0" w:tplc="25A245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62164"/>
    <w:multiLevelType w:val="hybridMultilevel"/>
    <w:tmpl w:val="4C14300C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12F81"/>
    <w:multiLevelType w:val="hybridMultilevel"/>
    <w:tmpl w:val="DE085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126E5A"/>
    <w:multiLevelType w:val="hybridMultilevel"/>
    <w:tmpl w:val="9A44B44A"/>
    <w:lvl w:ilvl="0" w:tplc="2108AB0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E909A8"/>
    <w:multiLevelType w:val="hybridMultilevel"/>
    <w:tmpl w:val="3E826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C5D2F"/>
    <w:multiLevelType w:val="hybridMultilevel"/>
    <w:tmpl w:val="C8644610"/>
    <w:lvl w:ilvl="0" w:tplc="D74E4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33CD6"/>
    <w:multiLevelType w:val="hybridMultilevel"/>
    <w:tmpl w:val="481236EC"/>
    <w:lvl w:ilvl="0" w:tplc="B4A83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262C6"/>
    <w:multiLevelType w:val="hybridMultilevel"/>
    <w:tmpl w:val="D2E8CA7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D363F62"/>
    <w:multiLevelType w:val="hybridMultilevel"/>
    <w:tmpl w:val="395A79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1C6F16"/>
    <w:multiLevelType w:val="hybridMultilevel"/>
    <w:tmpl w:val="C6568CBC"/>
    <w:lvl w:ilvl="0" w:tplc="8E9EAC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414E2C"/>
    <w:multiLevelType w:val="hybridMultilevel"/>
    <w:tmpl w:val="C904326E"/>
    <w:lvl w:ilvl="0" w:tplc="347E1D8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CB353F"/>
    <w:multiLevelType w:val="hybridMultilevel"/>
    <w:tmpl w:val="BCD48A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1B042D"/>
    <w:multiLevelType w:val="hybridMultilevel"/>
    <w:tmpl w:val="2BAEFE60"/>
    <w:lvl w:ilvl="0" w:tplc="89121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B48EF"/>
    <w:multiLevelType w:val="hybridMultilevel"/>
    <w:tmpl w:val="B6546934"/>
    <w:lvl w:ilvl="0" w:tplc="4AA4EDC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B226ED"/>
    <w:multiLevelType w:val="hybridMultilevel"/>
    <w:tmpl w:val="DAB4CBEC"/>
    <w:lvl w:ilvl="0" w:tplc="C84ED08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FE1926"/>
    <w:multiLevelType w:val="hybridMultilevel"/>
    <w:tmpl w:val="EEBC3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B3651"/>
    <w:multiLevelType w:val="hybridMultilevel"/>
    <w:tmpl w:val="E10C1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D1FCD"/>
    <w:multiLevelType w:val="hybridMultilevel"/>
    <w:tmpl w:val="A5867E6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D17E6B"/>
    <w:multiLevelType w:val="hybridMultilevel"/>
    <w:tmpl w:val="EDE29A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42EA0"/>
    <w:multiLevelType w:val="hybridMultilevel"/>
    <w:tmpl w:val="01A0A2A2"/>
    <w:lvl w:ilvl="0" w:tplc="9398BC4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2755C4"/>
    <w:multiLevelType w:val="hybridMultilevel"/>
    <w:tmpl w:val="68C48C78"/>
    <w:lvl w:ilvl="0" w:tplc="E5160C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9"/>
  </w:num>
  <w:num w:numId="3">
    <w:abstractNumId w:val="7"/>
  </w:num>
  <w:num w:numId="4">
    <w:abstractNumId w:val="25"/>
  </w:num>
  <w:num w:numId="5">
    <w:abstractNumId w:val="18"/>
  </w:num>
  <w:num w:numId="6">
    <w:abstractNumId w:val="12"/>
  </w:num>
  <w:num w:numId="7">
    <w:abstractNumId w:val="2"/>
  </w:num>
  <w:num w:numId="8">
    <w:abstractNumId w:val="26"/>
  </w:num>
  <w:num w:numId="9">
    <w:abstractNumId w:val="27"/>
  </w:num>
  <w:num w:numId="10">
    <w:abstractNumId w:val="11"/>
  </w:num>
  <w:num w:numId="11">
    <w:abstractNumId w:val="8"/>
  </w:num>
  <w:num w:numId="12">
    <w:abstractNumId w:val="6"/>
  </w:num>
  <w:num w:numId="13">
    <w:abstractNumId w:val="28"/>
  </w:num>
  <w:num w:numId="14">
    <w:abstractNumId w:val="24"/>
  </w:num>
  <w:num w:numId="15">
    <w:abstractNumId w:val="10"/>
  </w:num>
  <w:num w:numId="16">
    <w:abstractNumId w:val="23"/>
  </w:num>
  <w:num w:numId="17">
    <w:abstractNumId w:val="19"/>
  </w:num>
  <w:num w:numId="18">
    <w:abstractNumId w:val="20"/>
  </w:num>
  <w:num w:numId="19">
    <w:abstractNumId w:val="0"/>
  </w:num>
  <w:num w:numId="20">
    <w:abstractNumId w:val="9"/>
  </w:num>
  <w:num w:numId="21">
    <w:abstractNumId w:val="17"/>
  </w:num>
  <w:num w:numId="22">
    <w:abstractNumId w:val="30"/>
  </w:num>
  <w:num w:numId="23">
    <w:abstractNumId w:val="14"/>
  </w:num>
  <w:num w:numId="24">
    <w:abstractNumId w:val="4"/>
  </w:num>
  <w:num w:numId="25">
    <w:abstractNumId w:val="3"/>
  </w:num>
  <w:num w:numId="26">
    <w:abstractNumId w:val="15"/>
  </w:num>
  <w:num w:numId="27">
    <w:abstractNumId w:val="21"/>
  </w:num>
  <w:num w:numId="28">
    <w:abstractNumId w:val="16"/>
  </w:num>
  <w:num w:numId="29">
    <w:abstractNumId w:val="5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C2"/>
    <w:rsid w:val="00020AF4"/>
    <w:rsid w:val="00024BA2"/>
    <w:rsid w:val="00033976"/>
    <w:rsid w:val="00041A7C"/>
    <w:rsid w:val="00052F68"/>
    <w:rsid w:val="0006063E"/>
    <w:rsid w:val="0009190C"/>
    <w:rsid w:val="0009309C"/>
    <w:rsid w:val="000A7F11"/>
    <w:rsid w:val="000D07A7"/>
    <w:rsid w:val="000D1DC4"/>
    <w:rsid w:val="00115191"/>
    <w:rsid w:val="00132A26"/>
    <w:rsid w:val="00155EC0"/>
    <w:rsid w:val="0017564B"/>
    <w:rsid w:val="00193F24"/>
    <w:rsid w:val="001960C5"/>
    <w:rsid w:val="001A3832"/>
    <w:rsid w:val="001A6018"/>
    <w:rsid w:val="001A7224"/>
    <w:rsid w:val="001B1E56"/>
    <w:rsid w:val="001B48FB"/>
    <w:rsid w:val="001D06D1"/>
    <w:rsid w:val="001D3FA9"/>
    <w:rsid w:val="001E0CA9"/>
    <w:rsid w:val="002165C1"/>
    <w:rsid w:val="00223AB2"/>
    <w:rsid w:val="00235B79"/>
    <w:rsid w:val="00263817"/>
    <w:rsid w:val="00295E03"/>
    <w:rsid w:val="002B74DE"/>
    <w:rsid w:val="002C2659"/>
    <w:rsid w:val="002D5054"/>
    <w:rsid w:val="002F0A8C"/>
    <w:rsid w:val="003008D1"/>
    <w:rsid w:val="00393FE0"/>
    <w:rsid w:val="003B5985"/>
    <w:rsid w:val="003C1CA8"/>
    <w:rsid w:val="003D140C"/>
    <w:rsid w:val="003D2578"/>
    <w:rsid w:val="003D568D"/>
    <w:rsid w:val="004079B1"/>
    <w:rsid w:val="00423899"/>
    <w:rsid w:val="00426369"/>
    <w:rsid w:val="004372CC"/>
    <w:rsid w:val="00474CAF"/>
    <w:rsid w:val="00475B42"/>
    <w:rsid w:val="0049781B"/>
    <w:rsid w:val="004B4506"/>
    <w:rsid w:val="004C3628"/>
    <w:rsid w:val="004E5EEA"/>
    <w:rsid w:val="004F0DCE"/>
    <w:rsid w:val="004F73DA"/>
    <w:rsid w:val="00504B29"/>
    <w:rsid w:val="00517B78"/>
    <w:rsid w:val="00545C21"/>
    <w:rsid w:val="005969C0"/>
    <w:rsid w:val="00596F9B"/>
    <w:rsid w:val="005A6071"/>
    <w:rsid w:val="005D2128"/>
    <w:rsid w:val="005F40FA"/>
    <w:rsid w:val="0060316C"/>
    <w:rsid w:val="00605F1B"/>
    <w:rsid w:val="006141FC"/>
    <w:rsid w:val="00635A87"/>
    <w:rsid w:val="006577DA"/>
    <w:rsid w:val="00663924"/>
    <w:rsid w:val="00672F9D"/>
    <w:rsid w:val="006A381D"/>
    <w:rsid w:val="006C6E83"/>
    <w:rsid w:val="006C7E76"/>
    <w:rsid w:val="006F3C55"/>
    <w:rsid w:val="00704AB5"/>
    <w:rsid w:val="00707116"/>
    <w:rsid w:val="007075EA"/>
    <w:rsid w:val="00722923"/>
    <w:rsid w:val="007354A3"/>
    <w:rsid w:val="007634B8"/>
    <w:rsid w:val="00775765"/>
    <w:rsid w:val="00780937"/>
    <w:rsid w:val="00785054"/>
    <w:rsid w:val="007A0A7C"/>
    <w:rsid w:val="007A2E4C"/>
    <w:rsid w:val="007C308D"/>
    <w:rsid w:val="007D7CC2"/>
    <w:rsid w:val="007E52A1"/>
    <w:rsid w:val="007E534C"/>
    <w:rsid w:val="00812C9A"/>
    <w:rsid w:val="008137FA"/>
    <w:rsid w:val="008252BC"/>
    <w:rsid w:val="008320DC"/>
    <w:rsid w:val="008535D9"/>
    <w:rsid w:val="008A3792"/>
    <w:rsid w:val="008A711B"/>
    <w:rsid w:val="008B2953"/>
    <w:rsid w:val="009163CD"/>
    <w:rsid w:val="00920E85"/>
    <w:rsid w:val="0094389C"/>
    <w:rsid w:val="00945234"/>
    <w:rsid w:val="00973409"/>
    <w:rsid w:val="009A09A8"/>
    <w:rsid w:val="009C1C9B"/>
    <w:rsid w:val="009D2275"/>
    <w:rsid w:val="009E3822"/>
    <w:rsid w:val="009E5139"/>
    <w:rsid w:val="00A07529"/>
    <w:rsid w:val="00A1342F"/>
    <w:rsid w:val="00A34D56"/>
    <w:rsid w:val="00A47ACD"/>
    <w:rsid w:val="00A52501"/>
    <w:rsid w:val="00A817A4"/>
    <w:rsid w:val="00AC07EE"/>
    <w:rsid w:val="00AD5B2C"/>
    <w:rsid w:val="00AD7164"/>
    <w:rsid w:val="00AE2FBF"/>
    <w:rsid w:val="00AE322B"/>
    <w:rsid w:val="00B107CE"/>
    <w:rsid w:val="00B33DBE"/>
    <w:rsid w:val="00B34898"/>
    <w:rsid w:val="00B41EE8"/>
    <w:rsid w:val="00B602BA"/>
    <w:rsid w:val="00B65975"/>
    <w:rsid w:val="00B72095"/>
    <w:rsid w:val="00B74383"/>
    <w:rsid w:val="00B767D6"/>
    <w:rsid w:val="00B97ACB"/>
    <w:rsid w:val="00BB5E2A"/>
    <w:rsid w:val="00BC6D0A"/>
    <w:rsid w:val="00BD30BD"/>
    <w:rsid w:val="00BD43E6"/>
    <w:rsid w:val="00BF5FC7"/>
    <w:rsid w:val="00C20348"/>
    <w:rsid w:val="00C33A3E"/>
    <w:rsid w:val="00C42396"/>
    <w:rsid w:val="00C54C94"/>
    <w:rsid w:val="00C56421"/>
    <w:rsid w:val="00C668FD"/>
    <w:rsid w:val="00C80474"/>
    <w:rsid w:val="00C96802"/>
    <w:rsid w:val="00CB1AFB"/>
    <w:rsid w:val="00CD0387"/>
    <w:rsid w:val="00CF742B"/>
    <w:rsid w:val="00D05899"/>
    <w:rsid w:val="00D44898"/>
    <w:rsid w:val="00D4640B"/>
    <w:rsid w:val="00D518B0"/>
    <w:rsid w:val="00D95249"/>
    <w:rsid w:val="00D95B46"/>
    <w:rsid w:val="00DA5B88"/>
    <w:rsid w:val="00DB3512"/>
    <w:rsid w:val="00E02107"/>
    <w:rsid w:val="00E02C8A"/>
    <w:rsid w:val="00E2615A"/>
    <w:rsid w:val="00E26959"/>
    <w:rsid w:val="00E3018F"/>
    <w:rsid w:val="00EA2CE5"/>
    <w:rsid w:val="00EB5DAC"/>
    <w:rsid w:val="00EE09CD"/>
    <w:rsid w:val="00F01F91"/>
    <w:rsid w:val="00F30F1C"/>
    <w:rsid w:val="00F37156"/>
    <w:rsid w:val="00F44ED6"/>
    <w:rsid w:val="00F72718"/>
    <w:rsid w:val="00F77450"/>
    <w:rsid w:val="00F92979"/>
    <w:rsid w:val="00F9578F"/>
    <w:rsid w:val="00FB09B0"/>
    <w:rsid w:val="00FC4713"/>
    <w:rsid w:val="00FC5E46"/>
    <w:rsid w:val="00FE4A22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CA8DC96-1832-4AF5-9B18-0A527ED5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CB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7CC2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7D7CC2"/>
    <w:pPr>
      <w:keepNext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7CC2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D7CC2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D7CC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D7CC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D7CC2"/>
    <w:pPr>
      <w:ind w:left="72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7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D7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D7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D7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C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D7CC2"/>
  </w:style>
  <w:style w:type="paragraph" w:styleId="Tekstpodstawowy2">
    <w:name w:val="Body Text 2"/>
    <w:basedOn w:val="Normalny"/>
    <w:link w:val="Tekstpodstawowy2Znak"/>
    <w:uiPriority w:val="99"/>
    <w:unhideWhenUsed/>
    <w:rsid w:val="007D7C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7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52F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32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2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C56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D09E5-DDCC-466C-BFEC-C4F980D1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2536DD77</Template>
  <TotalTime>23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Gospodarki Mieszkaniowej w Świnoujściu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bkizewska</dc:creator>
  <cp:keywords/>
  <dc:description/>
  <cp:lastModifiedBy>Beata Kiżewska</cp:lastModifiedBy>
  <cp:revision>7</cp:revision>
  <cp:lastPrinted>2022-01-19T10:21:00Z</cp:lastPrinted>
  <dcterms:created xsi:type="dcterms:W3CDTF">2022-01-25T10:09:00Z</dcterms:created>
  <dcterms:modified xsi:type="dcterms:W3CDTF">2022-01-28T09:34:00Z</dcterms:modified>
</cp:coreProperties>
</file>