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79594E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zarządzenia nr     </w:t>
      </w:r>
      <w:r w:rsidR="00657C3A">
        <w:rPr>
          <w:rFonts w:eastAsia="Times New Roman"/>
          <w:sz w:val="22"/>
          <w:szCs w:val="22"/>
        </w:rPr>
        <w:t xml:space="preserve">  </w:t>
      </w:r>
      <w:r w:rsidR="00E36097">
        <w:rPr>
          <w:rFonts w:eastAsia="Times New Roman"/>
          <w:sz w:val="22"/>
          <w:szCs w:val="22"/>
        </w:rPr>
        <w:t xml:space="preserve">5  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0A58B1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 w:rsidRPr="007150CB">
        <w:rPr>
          <w:rFonts w:eastAsia="Times New Roman"/>
          <w:sz w:val="22"/>
          <w:szCs w:val="22"/>
        </w:rPr>
        <w:t xml:space="preserve">z dnia  </w:t>
      </w:r>
      <w:r w:rsidR="0079594E">
        <w:rPr>
          <w:rFonts w:eastAsia="Times New Roman"/>
          <w:sz w:val="22"/>
          <w:szCs w:val="22"/>
        </w:rPr>
        <w:t xml:space="preserve"> </w:t>
      </w:r>
      <w:r w:rsidR="00E36097">
        <w:rPr>
          <w:rFonts w:eastAsia="Times New Roman"/>
          <w:sz w:val="22"/>
          <w:szCs w:val="22"/>
        </w:rPr>
        <w:t xml:space="preserve"> 4</w:t>
      </w:r>
      <w:r w:rsidR="00657C3A">
        <w:rPr>
          <w:rFonts w:eastAsia="Times New Roman"/>
          <w:sz w:val="22"/>
          <w:szCs w:val="22"/>
        </w:rPr>
        <w:t xml:space="preserve">    stycznia 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D70C8D">
        <w:rPr>
          <w:rFonts w:eastAsia="Times New Roman"/>
          <w:lang w:eastAsia="en-US" w:bidi="en-US"/>
        </w:rPr>
        <w:t xml:space="preserve">ionym realizacji następujących </w:t>
      </w:r>
      <w:r w:rsidR="00F55654">
        <w:rPr>
          <w:rFonts w:eastAsia="Times New Roman"/>
          <w:lang w:eastAsia="en-US" w:bidi="en-US"/>
        </w:rPr>
        <w:t>zadań</w:t>
      </w:r>
      <w:r>
        <w:rPr>
          <w:rFonts w:eastAsia="Times New Roman"/>
          <w:lang w:eastAsia="en-US" w:bidi="en-US"/>
        </w:rPr>
        <w:t xml:space="preserve">: </w:t>
      </w:r>
    </w:p>
    <w:p w:rsidR="00F6715A" w:rsidRDefault="00F6715A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Pr="00BD7973" w:rsidRDefault="00F55654" w:rsidP="002B6B3D">
      <w:pPr>
        <w:pStyle w:val="Li"/>
        <w:tabs>
          <w:tab w:val="left" w:pos="425"/>
        </w:tabs>
        <w:jc w:val="both"/>
        <w:rPr>
          <w:lang w:val="pl-PL"/>
        </w:rPr>
      </w:pPr>
      <w:r w:rsidRPr="00F55654">
        <w:rPr>
          <w:b/>
          <w:lang w:val="pl-PL"/>
        </w:rPr>
        <w:t>Zadanie Nr 1</w:t>
      </w:r>
      <w:r>
        <w:rPr>
          <w:lang w:val="pl-PL"/>
        </w:rPr>
        <w:t xml:space="preserve">. </w:t>
      </w:r>
      <w:r w:rsidR="002B6B3D">
        <w:t>R</w:t>
      </w:r>
      <w:r w:rsidR="002B6B3D" w:rsidRPr="00BD7973">
        <w:t xml:space="preserve">ealizacja programów profilaktycznych wspierających rodziców/opiekunów w prawidłowym </w:t>
      </w:r>
      <w:r w:rsidR="002B6B3D">
        <w:t xml:space="preserve">wypełnianiu ról rodzicielskich </w:t>
      </w:r>
      <w:r w:rsidR="002B6B3D" w:rsidRPr="00BD7973">
        <w:t>- kwota przez</w:t>
      </w:r>
      <w:r w:rsidR="002B6B3D">
        <w:t>naczona na realizację zadania 34.560 zł.</w:t>
      </w:r>
    </w:p>
    <w:p w:rsidR="002B6B3D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Default="00F55654" w:rsidP="002B6B3D">
      <w:pPr>
        <w:pStyle w:val="Li"/>
        <w:tabs>
          <w:tab w:val="left" w:pos="425"/>
        </w:tabs>
        <w:jc w:val="both"/>
      </w:pPr>
      <w:r w:rsidRPr="00F55654">
        <w:rPr>
          <w:b/>
          <w:lang w:val="pl-PL"/>
        </w:rPr>
        <w:t>Zadanie Nr 2.</w:t>
      </w:r>
      <w:r>
        <w:rPr>
          <w:lang w:val="pl-PL"/>
        </w:rPr>
        <w:t xml:space="preserve"> </w:t>
      </w:r>
      <w:r w:rsidR="002B6B3D">
        <w:t>R</w:t>
      </w:r>
      <w:r w:rsidR="002B6B3D" w:rsidRPr="00BD7973">
        <w:t xml:space="preserve">ealizacja programu z zakresu profilaktyki selektywnej dla dzieci i młodzieży zagrożonych wykluczeniem społecznym </w:t>
      </w:r>
      <w:r w:rsidR="002B6B3D" w:rsidRPr="00BD7973">
        <w:rPr>
          <w:lang w:val="pl-PL"/>
        </w:rPr>
        <w:t>tj. takich, które ze względu na deficyty emocjonalne i społeczne mogą wymagać nauczania indywidua</w:t>
      </w:r>
      <w:r w:rsidR="002B6B3D">
        <w:rPr>
          <w:lang w:val="pl-PL"/>
        </w:rPr>
        <w:t xml:space="preserve">lnego lub  są objęte nauczaniem indywidualnym bądź </w:t>
      </w:r>
      <w:r w:rsidR="002B6B3D" w:rsidRPr="00BD7973">
        <w:rPr>
          <w:lang w:val="pl-PL"/>
        </w:rPr>
        <w:t>zindywidualizowaną ścieżką nauczania</w:t>
      </w:r>
      <w:r w:rsidR="002B6B3D" w:rsidRPr="00BD7973">
        <w:t xml:space="preserve"> - kwota prze</w:t>
      </w:r>
      <w:r w:rsidR="002B6B3D">
        <w:t>znaczona na realizację zadania 32.800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F55654" w:rsidRPr="00BD7973" w:rsidRDefault="00F55654" w:rsidP="00F55654">
      <w:pPr>
        <w:pStyle w:val="Li"/>
        <w:tabs>
          <w:tab w:val="left" w:pos="425"/>
        </w:tabs>
        <w:jc w:val="both"/>
        <w:rPr>
          <w:lang w:val="pl-PL"/>
        </w:rPr>
      </w:pP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2059E" w:rsidRDefault="00F2059E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E36097" w:rsidRPr="00E36097">
        <w:rPr>
          <w:rFonts w:eastAsia="Times New Roman"/>
          <w:b/>
          <w:bCs/>
          <w:lang w:eastAsia="en-US" w:bidi="en-US"/>
        </w:rPr>
        <w:t>20</w:t>
      </w:r>
      <w:r w:rsidR="0094358A">
        <w:rPr>
          <w:rFonts w:eastAsia="Times New Roman"/>
          <w:b/>
          <w:bCs/>
          <w:lang w:eastAsia="en-US" w:bidi="en-US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lang w:eastAsia="en-US" w:bidi="en-US"/>
        </w:rPr>
        <w:t>stycznia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F55654">
        <w:rPr>
          <w:rFonts w:eastAsia="Times New Roman"/>
          <w:lang w:eastAsia="en-US" w:bidi="en-US"/>
        </w:rPr>
        <w:t xml:space="preserve">   </w:t>
      </w:r>
      <w:r w:rsidR="00E36097">
        <w:rPr>
          <w:rFonts w:eastAsia="Times New Roman"/>
          <w:lang w:eastAsia="en-US" w:bidi="en-US"/>
        </w:rPr>
        <w:t>5</w:t>
      </w:r>
      <w:r w:rsidR="00F55654">
        <w:rPr>
          <w:rFonts w:eastAsia="Times New Roman"/>
          <w:lang w:eastAsia="en-US" w:bidi="en-US"/>
        </w:rPr>
        <w:t xml:space="preserve">  </w:t>
      </w:r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E36097">
        <w:rPr>
          <w:rFonts w:eastAsia="Times New Roman"/>
          <w:lang w:eastAsia="en-US" w:bidi="en-US"/>
        </w:rPr>
        <w:t>4</w:t>
      </w:r>
      <w:r>
        <w:rPr>
          <w:rFonts w:eastAsia="Times New Roman"/>
          <w:lang w:eastAsia="en-US" w:bidi="en-US"/>
        </w:rPr>
        <w:t xml:space="preserve">  stycznia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E49E1">
        <w:t>owanie osób go reprezentujących,</w:t>
      </w:r>
    </w:p>
    <w:p w:rsidR="001E49E1" w:rsidRPr="001D463A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>
        <w:rPr>
          <w:rFonts w:eastAsia="Lucida Sans Unicode"/>
          <w:color w:val="000000"/>
          <w:lang w:eastAsia="en-US" w:bidi="en-US"/>
        </w:rPr>
        <w:t>zakresu rzeczowego zadania  do 2</w:t>
      </w:r>
      <w:r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E910D1" w:rsidRPr="00E910D1" w:rsidRDefault="00E910D1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color w:val="000000"/>
          <w:lang w:eastAsia="en-US" w:bidi="en-US"/>
        </w:rPr>
        <w:t xml:space="preserve">program rekomendowany </w:t>
      </w:r>
      <w:r w:rsidRPr="004348BC">
        <w:t xml:space="preserve">w ramach Systemu rekomendacji programów profilaktycznych i promocji zdrowia </w:t>
      </w:r>
      <w:r>
        <w:t xml:space="preserve">do 10 punktów,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845589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5062A3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1831EA" w:rsidRDefault="00DD24FD" w:rsidP="000E0CA8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</w:t>
      </w:r>
      <w:r w:rsidR="008B2E5A">
        <w:rPr>
          <w:rFonts w:eastAsia="Times New Roman"/>
          <w:b/>
          <w:bCs/>
        </w:rPr>
        <w:t xml:space="preserve">: </w:t>
      </w:r>
      <w:r w:rsidR="00773DB5">
        <w:rPr>
          <w:rFonts w:eastAsia="Times New Roman"/>
          <w:b/>
          <w:bCs/>
        </w:rPr>
        <w:t>……………………………………….</w:t>
      </w: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  <w:p w:rsidR="00964D40" w:rsidRPr="002D5870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>
        <w:rPr>
          <w:rFonts w:eastAsia="Times New Roman"/>
        </w:rPr>
        <w:t xml:space="preserve"> r.</w:t>
      </w:r>
    </w:p>
    <w:p w:rsidR="002D5870" w:rsidRDefault="002D5870" w:rsidP="007150CB">
      <w:pPr>
        <w:autoSpaceDE w:val="0"/>
        <w:ind w:left="5664" w:firstLine="45"/>
        <w:jc w:val="both"/>
        <w:rPr>
          <w:rFonts w:eastAsia="Times New Roman"/>
          <w:sz w:val="22"/>
          <w:szCs w:val="22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542FC3" w:rsidRDefault="00377CA3" w:rsidP="00542FC3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E0CA8">
        <w:rPr>
          <w:rFonts w:eastAsia="Times New Roman"/>
          <w:b/>
          <w:bCs/>
        </w:rPr>
        <w:t xml:space="preserve"> zadania </w:t>
      </w:r>
      <w:r w:rsidR="00773DB5">
        <w:rPr>
          <w:rFonts w:eastAsia="Times New Roman"/>
          <w:b/>
          <w:bCs/>
        </w:rPr>
        <w:t>…………………………………………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114227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program rekomendowany</w:t>
            </w:r>
            <w:r w:rsidRPr="004348BC">
              <w:rPr>
                <w:color w:val="000000"/>
                <w:lang w:eastAsia="en-US" w:bidi="en-US"/>
              </w:rPr>
              <w:t xml:space="preserve"> </w:t>
            </w:r>
            <w:r w:rsidRPr="004348BC">
              <w:t>w ramach Systemu rekomendacji programów profi</w:t>
            </w:r>
            <w:r>
              <w:t xml:space="preserve">laktycznych i promocji zdrowia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DA0FED">
        <w:rPr>
          <w:rFonts w:eastAsia="Times New Roman"/>
          <w:lang w:eastAsia="en-US" w:bidi="en-US"/>
        </w:rPr>
        <w:t>..........................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DA0FED" w:rsidRDefault="00DA0FE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773DB5">
        <w:rPr>
          <w:rFonts w:eastAsia="Times New Roman"/>
        </w:rPr>
        <w:t>……………………………………………………………………………….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6C27"/>
    <w:rsid w:val="00025603"/>
    <w:rsid w:val="0005402F"/>
    <w:rsid w:val="000A58B1"/>
    <w:rsid w:val="000D1712"/>
    <w:rsid w:val="000E0CA8"/>
    <w:rsid w:val="00114227"/>
    <w:rsid w:val="0015206B"/>
    <w:rsid w:val="001524F5"/>
    <w:rsid w:val="00153502"/>
    <w:rsid w:val="00164A40"/>
    <w:rsid w:val="00170357"/>
    <w:rsid w:val="001831EA"/>
    <w:rsid w:val="001A4FC0"/>
    <w:rsid w:val="001B3905"/>
    <w:rsid w:val="001C4336"/>
    <w:rsid w:val="001D463A"/>
    <w:rsid w:val="001E49E1"/>
    <w:rsid w:val="001F464A"/>
    <w:rsid w:val="00234A1A"/>
    <w:rsid w:val="002429A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35CCC"/>
    <w:rsid w:val="004539E8"/>
    <w:rsid w:val="0047400E"/>
    <w:rsid w:val="00482E61"/>
    <w:rsid w:val="004E11DF"/>
    <w:rsid w:val="004E5394"/>
    <w:rsid w:val="004F1A6D"/>
    <w:rsid w:val="005062A3"/>
    <w:rsid w:val="00516B84"/>
    <w:rsid w:val="005323E1"/>
    <w:rsid w:val="00542FC3"/>
    <w:rsid w:val="00557088"/>
    <w:rsid w:val="005752A3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D0C5B"/>
    <w:rsid w:val="006E456B"/>
    <w:rsid w:val="007150CB"/>
    <w:rsid w:val="00720561"/>
    <w:rsid w:val="00732168"/>
    <w:rsid w:val="007635A3"/>
    <w:rsid w:val="00770B1F"/>
    <w:rsid w:val="00773DB5"/>
    <w:rsid w:val="00792B64"/>
    <w:rsid w:val="0079594E"/>
    <w:rsid w:val="007A0399"/>
    <w:rsid w:val="007A1037"/>
    <w:rsid w:val="00812FFE"/>
    <w:rsid w:val="00815449"/>
    <w:rsid w:val="00827143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64D40"/>
    <w:rsid w:val="009743F4"/>
    <w:rsid w:val="00975433"/>
    <w:rsid w:val="009B4907"/>
    <w:rsid w:val="009C3591"/>
    <w:rsid w:val="009C5201"/>
    <w:rsid w:val="009D41EF"/>
    <w:rsid w:val="009F716F"/>
    <w:rsid w:val="00A06AE4"/>
    <w:rsid w:val="00A652DB"/>
    <w:rsid w:val="00AA1BD3"/>
    <w:rsid w:val="00AB661A"/>
    <w:rsid w:val="00AD5786"/>
    <w:rsid w:val="00B25655"/>
    <w:rsid w:val="00B31904"/>
    <w:rsid w:val="00B62D38"/>
    <w:rsid w:val="00B7265C"/>
    <w:rsid w:val="00B80657"/>
    <w:rsid w:val="00B80F4C"/>
    <w:rsid w:val="00B82F9B"/>
    <w:rsid w:val="00BA6E85"/>
    <w:rsid w:val="00BB0918"/>
    <w:rsid w:val="00BB4ADF"/>
    <w:rsid w:val="00BB623D"/>
    <w:rsid w:val="00C12A0F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70C8D"/>
    <w:rsid w:val="00DA0FED"/>
    <w:rsid w:val="00DB1136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910D1"/>
    <w:rsid w:val="00EA476A"/>
    <w:rsid w:val="00EE262B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8513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7534-DC78-4032-9531-C5FA777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2446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105</cp:revision>
  <cp:lastPrinted>2022-01-04T10:29:00Z</cp:lastPrinted>
  <dcterms:created xsi:type="dcterms:W3CDTF">2020-01-13T13:29:00Z</dcterms:created>
  <dcterms:modified xsi:type="dcterms:W3CDTF">2022-01-04T11:05:00Z</dcterms:modified>
</cp:coreProperties>
</file>