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88753E">
        <w:rPr>
          <w:b/>
          <w:bCs/>
        </w:rPr>
        <w:t>6</w:t>
      </w:r>
      <w:r w:rsidR="00575A1E">
        <w:rPr>
          <w:b/>
          <w:bCs/>
        </w:rPr>
        <w:t>77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A31963">
        <w:rPr>
          <w:b/>
          <w:sz w:val="24"/>
        </w:rPr>
        <w:t>2</w:t>
      </w:r>
      <w:r w:rsidR="00575A1E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0B03FB">
        <w:rPr>
          <w:b/>
          <w:sz w:val="24"/>
        </w:rPr>
        <w:t>października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DA1C52" w:rsidRDefault="00DA1C52" w:rsidP="00475DBB"/>
    <w:p w:rsidR="00ED1C32" w:rsidRPr="009729A7" w:rsidRDefault="00ED1C32" w:rsidP="00ED1C32">
      <w:pPr>
        <w:pStyle w:val="Nagwek3"/>
        <w:rPr>
          <w:color w:val="000000" w:themeColor="text1"/>
        </w:rPr>
      </w:pPr>
      <w:r w:rsidRPr="009729A7">
        <w:rPr>
          <w:color w:val="000000" w:themeColor="text1"/>
        </w:rPr>
        <w:lastRenderedPageBreak/>
        <w:t>Uzasadnienie</w:t>
      </w:r>
    </w:p>
    <w:p w:rsidR="00F0466A" w:rsidRPr="00623F2B" w:rsidRDefault="00F0466A" w:rsidP="00ED1C32">
      <w:pPr>
        <w:pStyle w:val="Zawartoramki"/>
        <w:suppressAutoHyphens w:val="0"/>
        <w:rPr>
          <w:b/>
          <w:bCs/>
          <w:color w:val="FF0000"/>
        </w:rPr>
      </w:pPr>
    </w:p>
    <w:p w:rsidR="00976825" w:rsidRPr="006307A9" w:rsidRDefault="00976825" w:rsidP="00ED1C32">
      <w:pPr>
        <w:rPr>
          <w:color w:val="FF0000"/>
          <w:sz w:val="24"/>
          <w:szCs w:val="24"/>
        </w:rPr>
      </w:pPr>
    </w:p>
    <w:p w:rsidR="00837D36" w:rsidRPr="001020F5" w:rsidRDefault="00A31CD3" w:rsidP="00837D36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Dział </w:t>
      </w:r>
      <w:r w:rsidR="00603C03">
        <w:rPr>
          <w:b/>
          <w:bCs/>
          <w:color w:val="000000" w:themeColor="text1"/>
        </w:rPr>
        <w:t>600</w:t>
      </w:r>
    </w:p>
    <w:p w:rsidR="00837D36" w:rsidRPr="00B13394" w:rsidRDefault="004A3167" w:rsidP="004A3167">
      <w:pPr>
        <w:pStyle w:val="Akapitzlist"/>
        <w:numPr>
          <w:ilvl w:val="0"/>
          <w:numId w:val="26"/>
        </w:numPr>
        <w:ind w:left="0" w:firstLine="0"/>
        <w:jc w:val="both"/>
        <w:rPr>
          <w:bCs/>
          <w:color w:val="000000" w:themeColor="text1"/>
          <w:sz w:val="24"/>
          <w:szCs w:val="24"/>
        </w:rPr>
      </w:pPr>
      <w:r w:rsidRPr="004A3167">
        <w:rPr>
          <w:sz w:val="24"/>
          <w:szCs w:val="24"/>
        </w:rPr>
        <w:t xml:space="preserve">Zmiany w planie wydatków wynikają z konieczności zwiększenia środków </w:t>
      </w:r>
      <w:r>
        <w:rPr>
          <w:sz w:val="24"/>
          <w:szCs w:val="24"/>
        </w:rPr>
        <w:t>zaplanowanych</w:t>
      </w:r>
      <w:r w:rsidRPr="004A3167">
        <w:rPr>
          <w:sz w:val="24"/>
          <w:szCs w:val="24"/>
        </w:rPr>
        <w:t xml:space="preserve"> na zlecenie przeglądu okresowego budowli. </w:t>
      </w:r>
      <w:r w:rsidR="00B13394">
        <w:rPr>
          <w:sz w:val="24"/>
          <w:szCs w:val="24"/>
        </w:rPr>
        <w:t>Najtańsza oferta złożona przez </w:t>
      </w:r>
      <w:r w:rsidRPr="004A3167">
        <w:rPr>
          <w:sz w:val="24"/>
          <w:szCs w:val="24"/>
        </w:rPr>
        <w:t>wykonawców przekracza pierwotnie zaplanowaną kwotę.</w:t>
      </w:r>
      <w:r w:rsidRPr="004A3167">
        <w:rPr>
          <w:sz w:val="24"/>
          <w:szCs w:val="24"/>
        </w:rPr>
        <w:t xml:space="preserve"> </w:t>
      </w:r>
      <w:r w:rsidRPr="004A3167">
        <w:rPr>
          <w:sz w:val="24"/>
          <w:szCs w:val="24"/>
        </w:rPr>
        <w:t>Środki na zwiększenie wydatków pochodzą z oszczędności uzyskanych w zakresie wydatków</w:t>
      </w:r>
      <w:r w:rsidR="00574926">
        <w:rPr>
          <w:sz w:val="24"/>
          <w:szCs w:val="24"/>
        </w:rPr>
        <w:t xml:space="preserve"> remontowych</w:t>
      </w:r>
      <w:r w:rsidR="00B13394">
        <w:rPr>
          <w:sz w:val="24"/>
          <w:szCs w:val="24"/>
        </w:rPr>
        <w:t>, w </w:t>
      </w:r>
      <w:r w:rsidRPr="004A3167">
        <w:rPr>
          <w:sz w:val="24"/>
          <w:szCs w:val="24"/>
        </w:rPr>
        <w:t>ramach kwoty, która nie została wykorzystana na remont infrastruktury po</w:t>
      </w:r>
      <w:r w:rsidR="00574926">
        <w:rPr>
          <w:sz w:val="24"/>
          <w:szCs w:val="24"/>
        </w:rPr>
        <w:t>rtowej – Żegluga Świnoujska.</w:t>
      </w:r>
    </w:p>
    <w:p w:rsidR="004A3167" w:rsidRPr="00B13394" w:rsidRDefault="00B13394" w:rsidP="00B13394">
      <w:pPr>
        <w:pStyle w:val="Akapitzlist"/>
        <w:numPr>
          <w:ilvl w:val="0"/>
          <w:numId w:val="26"/>
        </w:numPr>
        <w:ind w:left="0" w:firstLine="0"/>
        <w:jc w:val="both"/>
        <w:rPr>
          <w:bCs/>
          <w:color w:val="000000" w:themeColor="text1"/>
          <w:sz w:val="24"/>
          <w:szCs w:val="24"/>
        </w:rPr>
      </w:pPr>
      <w:r w:rsidRPr="00B13394">
        <w:rPr>
          <w:sz w:val="24"/>
          <w:szCs w:val="24"/>
        </w:rPr>
        <w:t>Zwiększenie planu wydatków na aktuali</w:t>
      </w:r>
      <w:r>
        <w:rPr>
          <w:sz w:val="24"/>
          <w:szCs w:val="24"/>
        </w:rPr>
        <w:t>zację operatów wodnoprawnych na </w:t>
      </w:r>
      <w:r w:rsidRPr="00B13394">
        <w:rPr>
          <w:sz w:val="24"/>
          <w:szCs w:val="24"/>
        </w:rPr>
        <w:t>wprowadzanie oczyszczonych wód opadowych do wód powierzchniowych, celem uzyskania aktualnego pozwolenia wodnoprawnego dla Gminy Miasto Świnoujście. W tym celu zmniejszono wydatki na zakup usług pozostałych, związan</w:t>
      </w:r>
      <w:r>
        <w:rPr>
          <w:sz w:val="24"/>
          <w:szCs w:val="24"/>
        </w:rPr>
        <w:t>ych z pracami odwadniającymi na </w:t>
      </w:r>
      <w:r w:rsidRPr="00B13394">
        <w:rPr>
          <w:sz w:val="24"/>
          <w:szCs w:val="24"/>
        </w:rPr>
        <w:t>t</w:t>
      </w:r>
      <w:r>
        <w:rPr>
          <w:sz w:val="24"/>
          <w:szCs w:val="24"/>
        </w:rPr>
        <w:t>erenie Gminy Miasto Świnoujście – Wydział Infrastruktury i Zieleni Miejskiej.</w:t>
      </w:r>
    </w:p>
    <w:p w:rsidR="001020F5" w:rsidRDefault="001020F5" w:rsidP="00ED1C32">
      <w:pPr>
        <w:rPr>
          <w:color w:val="FF0000"/>
          <w:sz w:val="24"/>
          <w:szCs w:val="24"/>
        </w:rPr>
      </w:pPr>
    </w:p>
    <w:p w:rsidR="00A867C2" w:rsidRPr="00FB052A" w:rsidRDefault="00A867C2" w:rsidP="00A867C2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</w:t>
      </w:r>
      <w:r>
        <w:rPr>
          <w:b/>
          <w:bCs/>
          <w:color w:val="000000" w:themeColor="text1"/>
        </w:rPr>
        <w:t xml:space="preserve">ział </w:t>
      </w:r>
      <w:r w:rsidR="00CF098E">
        <w:rPr>
          <w:b/>
          <w:bCs/>
          <w:color w:val="000000" w:themeColor="text1"/>
        </w:rPr>
        <w:t>700</w:t>
      </w:r>
    </w:p>
    <w:p w:rsidR="00A867C2" w:rsidRPr="008B721F" w:rsidRDefault="008B721F" w:rsidP="008B721F">
      <w:pPr>
        <w:jc w:val="both"/>
        <w:rPr>
          <w:color w:val="000000" w:themeColor="text1"/>
          <w:sz w:val="24"/>
          <w:szCs w:val="24"/>
        </w:rPr>
      </w:pPr>
      <w:r w:rsidRPr="008B721F">
        <w:rPr>
          <w:color w:val="000000" w:themeColor="text1"/>
          <w:sz w:val="24"/>
          <w:lang w:eastAsia="ar-SA"/>
        </w:rPr>
        <w:t xml:space="preserve">Zmniejszenie planu wydatków na </w:t>
      </w:r>
      <w:r>
        <w:rPr>
          <w:color w:val="000000" w:themeColor="text1"/>
          <w:sz w:val="24"/>
          <w:lang w:eastAsia="ar-SA"/>
        </w:rPr>
        <w:t>s</w:t>
      </w:r>
      <w:r w:rsidRPr="008B721F">
        <w:rPr>
          <w:color w:val="000000" w:themeColor="text1"/>
          <w:sz w:val="24"/>
          <w:lang w:eastAsia="ar-SA"/>
        </w:rPr>
        <w:t>kutek niższych niż pierwotnie zaplanowano wydatków związanych z opłatami na rzecz budżetu jednostki samorządu terytorialnego, z przeznaczeniem na aktualizację opłat za użytkowanie wieczyste nieruchomości Skarbu Państwa oraz koniecznością dokonania podziałów geodezyjnych nieruchomości – Wydział Ewidencji i Obrotu Nieruchomościami.</w:t>
      </w:r>
    </w:p>
    <w:p w:rsidR="00A867C2" w:rsidRDefault="00A867C2" w:rsidP="00ED1C32">
      <w:pPr>
        <w:rPr>
          <w:color w:val="FF0000"/>
          <w:sz w:val="24"/>
          <w:szCs w:val="24"/>
        </w:rPr>
      </w:pPr>
    </w:p>
    <w:p w:rsidR="00CF098E" w:rsidRPr="00FB052A" w:rsidRDefault="00CF098E" w:rsidP="00CF098E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</w:t>
      </w:r>
      <w:r>
        <w:rPr>
          <w:b/>
          <w:bCs/>
          <w:color w:val="000000" w:themeColor="text1"/>
        </w:rPr>
        <w:t>ział 710</w:t>
      </w:r>
    </w:p>
    <w:p w:rsidR="00CF098E" w:rsidRDefault="00CF098E" w:rsidP="00CF098E">
      <w:pPr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lang w:eastAsia="ar-SA"/>
        </w:rPr>
        <w:t>Zabezpieczenie środków finansowych pochodzących z oszczędności w ramach bieżącego funkcjonowania Powiatowego Inspektoratu Nadzoru Budowlanego, z przeznaczeniem na badania lekarskie z zakresu medycyny pracy.</w:t>
      </w:r>
    </w:p>
    <w:p w:rsidR="00CF098E" w:rsidRDefault="00CF098E" w:rsidP="00ED1C32">
      <w:pPr>
        <w:rPr>
          <w:color w:val="FF0000"/>
          <w:sz w:val="24"/>
          <w:szCs w:val="24"/>
        </w:rPr>
      </w:pPr>
    </w:p>
    <w:p w:rsidR="00EF6325" w:rsidRPr="00FB052A" w:rsidRDefault="00EF6325" w:rsidP="00EF6325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</w:t>
      </w:r>
      <w:r>
        <w:rPr>
          <w:b/>
          <w:bCs/>
          <w:color w:val="000000" w:themeColor="text1"/>
        </w:rPr>
        <w:t>ział 750</w:t>
      </w:r>
    </w:p>
    <w:p w:rsidR="00EF6325" w:rsidRPr="00C8361E" w:rsidRDefault="00EF6325" w:rsidP="00C8361E">
      <w:pPr>
        <w:pStyle w:val="Akapitzlist"/>
        <w:numPr>
          <w:ilvl w:val="0"/>
          <w:numId w:val="27"/>
        </w:numPr>
        <w:ind w:left="0" w:firstLine="0"/>
        <w:jc w:val="both"/>
        <w:rPr>
          <w:color w:val="FF0000"/>
          <w:sz w:val="24"/>
          <w:szCs w:val="24"/>
        </w:rPr>
      </w:pPr>
      <w:r w:rsidRPr="00C8361E">
        <w:rPr>
          <w:color w:val="000000" w:themeColor="text1"/>
          <w:sz w:val="24"/>
          <w:lang w:eastAsia="ar-SA"/>
        </w:rPr>
        <w:t>Zmiana w planie wydatków w ramach funkcjonowania Bura Rady, z przeznaczeniem na pokrycie kosztów abonamentów za mobilną sieć internetową w tabletach służbowych Radnych Miasta Świnoujście.</w:t>
      </w:r>
    </w:p>
    <w:p w:rsidR="00C8361E" w:rsidRDefault="00B12D64" w:rsidP="00B12D64">
      <w:pPr>
        <w:pStyle w:val="Akapitzlist"/>
        <w:numPr>
          <w:ilvl w:val="0"/>
          <w:numId w:val="27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B12D64">
        <w:rPr>
          <w:color w:val="000000" w:themeColor="text1"/>
          <w:sz w:val="24"/>
          <w:szCs w:val="24"/>
        </w:rPr>
        <w:t xml:space="preserve">Przesunięcie </w:t>
      </w:r>
      <w:r>
        <w:rPr>
          <w:color w:val="000000" w:themeColor="text1"/>
          <w:sz w:val="24"/>
          <w:szCs w:val="24"/>
        </w:rPr>
        <w:t>niewykorzystanych</w:t>
      </w:r>
      <w:r w:rsidRPr="00B12D64">
        <w:rPr>
          <w:color w:val="000000" w:themeColor="text1"/>
          <w:sz w:val="24"/>
          <w:szCs w:val="24"/>
        </w:rPr>
        <w:t xml:space="preserve"> środków na zakup materiałów</w:t>
      </w:r>
      <w:r>
        <w:rPr>
          <w:color w:val="000000" w:themeColor="text1"/>
          <w:sz w:val="24"/>
          <w:szCs w:val="24"/>
        </w:rPr>
        <w:t>, z przeznaczeniem na </w:t>
      </w:r>
      <w:r w:rsidRPr="00B12D64">
        <w:rPr>
          <w:color w:val="000000" w:themeColor="text1"/>
          <w:sz w:val="24"/>
          <w:szCs w:val="24"/>
        </w:rPr>
        <w:t>zakup energii w związku z podwyżką cen za prąd i gaz – Wydział Organizacyjny Dział Gospodarczy.</w:t>
      </w:r>
    </w:p>
    <w:p w:rsidR="00451D9E" w:rsidRPr="00AF0640" w:rsidRDefault="00451D9E" w:rsidP="00B12D64">
      <w:pPr>
        <w:pStyle w:val="Akapitzlist"/>
        <w:numPr>
          <w:ilvl w:val="0"/>
          <w:numId w:val="27"/>
        </w:numPr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Zmiana klasyfikacji (czwarta cyfra paragrafu</w:t>
      </w:r>
      <w:r w:rsidRPr="00AF0640">
        <w:rPr>
          <w:color w:val="000000" w:themeColor="text1"/>
          <w:sz w:val="24"/>
          <w:szCs w:val="24"/>
        </w:rPr>
        <w:t>)</w:t>
      </w:r>
      <w:r w:rsidR="00AF0640" w:rsidRPr="00AF0640">
        <w:rPr>
          <w:color w:val="000000" w:themeColor="text1"/>
          <w:sz w:val="24"/>
          <w:szCs w:val="24"/>
        </w:rPr>
        <w:t xml:space="preserve"> </w:t>
      </w:r>
      <w:r w:rsidR="00AF0640" w:rsidRPr="00AF0640">
        <w:rPr>
          <w:sz w:val="24"/>
          <w:szCs w:val="24"/>
        </w:rPr>
        <w:t xml:space="preserve">z uwagi na zmianę wysokości dofinansowania środkami UE na realizację </w:t>
      </w:r>
      <w:r w:rsidR="00AF0640">
        <w:rPr>
          <w:sz w:val="24"/>
          <w:szCs w:val="24"/>
        </w:rPr>
        <w:t>T</w:t>
      </w:r>
      <w:r w:rsidR="00AF0640" w:rsidRPr="00AF0640">
        <w:rPr>
          <w:sz w:val="24"/>
          <w:szCs w:val="24"/>
        </w:rPr>
        <w:t xml:space="preserve">ermomodernizacji obiektu </w:t>
      </w:r>
      <w:proofErr w:type="spellStart"/>
      <w:r w:rsidR="00AF0640" w:rsidRPr="00AF0640">
        <w:rPr>
          <w:sz w:val="24"/>
          <w:szCs w:val="24"/>
        </w:rPr>
        <w:t>CEZiT</w:t>
      </w:r>
      <w:proofErr w:type="spellEnd"/>
      <w:r w:rsidR="00AF0640" w:rsidRPr="00AF0640">
        <w:rPr>
          <w:sz w:val="24"/>
          <w:szCs w:val="24"/>
        </w:rPr>
        <w:t xml:space="preserve"> (roboty zewnętrzne na obiekcie oraz przebudowa wewnętrznej instalacji c.o. i węzła cieplnego)</w:t>
      </w:r>
      <w:r w:rsidR="00AF0640">
        <w:rPr>
          <w:sz w:val="24"/>
          <w:szCs w:val="24"/>
        </w:rPr>
        <w:t xml:space="preserve"> – Wydział Inwestycji Miejskich.</w:t>
      </w:r>
    </w:p>
    <w:p w:rsidR="00EF6325" w:rsidRDefault="00EF6325" w:rsidP="00ED1C32">
      <w:pPr>
        <w:rPr>
          <w:color w:val="FF0000"/>
          <w:sz w:val="24"/>
          <w:szCs w:val="24"/>
        </w:rPr>
      </w:pPr>
    </w:p>
    <w:p w:rsidR="0032228A" w:rsidRPr="00FB052A" w:rsidRDefault="0032228A" w:rsidP="0032228A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</w:t>
      </w:r>
      <w:r>
        <w:rPr>
          <w:b/>
          <w:bCs/>
          <w:color w:val="000000" w:themeColor="text1"/>
        </w:rPr>
        <w:t>ział 754</w:t>
      </w:r>
    </w:p>
    <w:p w:rsidR="0032228A" w:rsidRPr="0032228A" w:rsidRDefault="0032228A" w:rsidP="0032228A">
      <w:pPr>
        <w:pStyle w:val="Akapitzlist"/>
        <w:numPr>
          <w:ilvl w:val="0"/>
          <w:numId w:val="28"/>
        </w:numPr>
        <w:ind w:left="0" w:firstLine="0"/>
        <w:jc w:val="both"/>
        <w:rPr>
          <w:color w:val="FF0000"/>
          <w:sz w:val="24"/>
          <w:szCs w:val="24"/>
        </w:rPr>
      </w:pPr>
      <w:r w:rsidRPr="0032228A">
        <w:rPr>
          <w:bCs/>
          <w:color w:val="000000" w:themeColor="text1"/>
          <w:sz w:val="24"/>
          <w:szCs w:val="24"/>
        </w:rPr>
        <w:t>Zmiana klasyfikacji (paragraf) wydatków zaplanowanych w ramach otrzymanej dotacji na bieżące funkcjonowanie Komendy Miejskiej Państwowej Straży Pożarnej</w:t>
      </w:r>
      <w:r>
        <w:rPr>
          <w:bCs/>
          <w:color w:val="000000" w:themeColor="text1"/>
          <w:sz w:val="24"/>
          <w:szCs w:val="24"/>
        </w:rPr>
        <w:t>.</w:t>
      </w:r>
    </w:p>
    <w:p w:rsidR="0032228A" w:rsidRPr="0032228A" w:rsidRDefault="0032228A" w:rsidP="0032228A">
      <w:pPr>
        <w:pStyle w:val="Akapitzlist"/>
        <w:numPr>
          <w:ilvl w:val="0"/>
          <w:numId w:val="28"/>
        </w:numPr>
        <w:ind w:left="0" w:firstLine="0"/>
        <w:jc w:val="both"/>
        <w:rPr>
          <w:sz w:val="24"/>
          <w:szCs w:val="24"/>
        </w:rPr>
      </w:pPr>
      <w:r w:rsidRPr="0032228A">
        <w:rPr>
          <w:sz w:val="24"/>
          <w:szCs w:val="24"/>
        </w:rPr>
        <w:t>Zwiększenie planu wydatków na zakup usług remontowych związanych z systemem monitoringu wizyjnego Gminy, tj.:</w:t>
      </w:r>
    </w:p>
    <w:p w:rsidR="0032228A" w:rsidRPr="0032228A" w:rsidRDefault="0032228A" w:rsidP="0032228A">
      <w:pPr>
        <w:pStyle w:val="Akapitzlist"/>
        <w:jc w:val="both"/>
        <w:rPr>
          <w:sz w:val="24"/>
          <w:szCs w:val="24"/>
        </w:rPr>
      </w:pPr>
      <w:r w:rsidRPr="0032228A">
        <w:rPr>
          <w:sz w:val="24"/>
          <w:szCs w:val="24"/>
        </w:rPr>
        <w:t xml:space="preserve">- wymiana niesprawnego technicznie klimatyzatora - 12.000 zł, </w:t>
      </w:r>
    </w:p>
    <w:p w:rsidR="0032228A" w:rsidRPr="0032228A" w:rsidRDefault="0032228A" w:rsidP="0032228A">
      <w:pPr>
        <w:pStyle w:val="Akapitzlist"/>
        <w:jc w:val="both"/>
        <w:rPr>
          <w:sz w:val="24"/>
          <w:szCs w:val="24"/>
        </w:rPr>
      </w:pPr>
      <w:r w:rsidRPr="0032228A">
        <w:rPr>
          <w:sz w:val="24"/>
          <w:szCs w:val="24"/>
        </w:rPr>
        <w:t>- wymiana niesprawnych 2 kamer wizyjnych wraz ze skrzynkami dostępu - 76.000 zł.</w:t>
      </w:r>
    </w:p>
    <w:p w:rsidR="0032228A" w:rsidRPr="0032228A" w:rsidRDefault="0032228A" w:rsidP="0032228A">
      <w:pPr>
        <w:pStyle w:val="Akapitzlist"/>
        <w:ind w:left="0"/>
        <w:jc w:val="both"/>
        <w:rPr>
          <w:sz w:val="24"/>
          <w:szCs w:val="24"/>
        </w:rPr>
      </w:pPr>
      <w:r w:rsidRPr="0032228A">
        <w:rPr>
          <w:sz w:val="24"/>
          <w:szCs w:val="24"/>
        </w:rPr>
        <w:t>W tym celu zmniejszono wydatki na zakup usług pozostałych, związanych z utrzymaniem w sprawności technicznej systemu wizyjnego.</w:t>
      </w:r>
    </w:p>
    <w:p w:rsidR="0032228A" w:rsidRPr="0032228A" w:rsidRDefault="0032228A" w:rsidP="00C101A0">
      <w:pPr>
        <w:pStyle w:val="Akapitzlist"/>
        <w:ind w:left="0"/>
        <w:jc w:val="both"/>
        <w:rPr>
          <w:color w:val="FF0000"/>
          <w:sz w:val="24"/>
          <w:szCs w:val="24"/>
        </w:rPr>
      </w:pPr>
    </w:p>
    <w:p w:rsidR="0032228A" w:rsidRPr="00B13394" w:rsidRDefault="0032228A" w:rsidP="00ED1C32">
      <w:pPr>
        <w:rPr>
          <w:color w:val="FF0000"/>
          <w:sz w:val="24"/>
          <w:szCs w:val="24"/>
        </w:rPr>
      </w:pPr>
    </w:p>
    <w:p w:rsidR="002B670B" w:rsidRPr="006307A9" w:rsidRDefault="002B670B" w:rsidP="002B670B">
      <w:pPr>
        <w:pStyle w:val="Zawartoramki"/>
        <w:suppressAutoHyphens w:val="0"/>
        <w:rPr>
          <w:b/>
          <w:bCs/>
          <w:color w:val="000000" w:themeColor="text1"/>
        </w:rPr>
      </w:pPr>
      <w:r w:rsidRPr="006307A9">
        <w:rPr>
          <w:b/>
          <w:bCs/>
          <w:color w:val="000000" w:themeColor="text1"/>
        </w:rPr>
        <w:t>Dział 801</w:t>
      </w:r>
      <w:r w:rsidR="00E856A3" w:rsidRPr="006307A9">
        <w:rPr>
          <w:b/>
          <w:bCs/>
          <w:color w:val="000000" w:themeColor="text1"/>
        </w:rPr>
        <w:t xml:space="preserve"> </w:t>
      </w:r>
      <w:r w:rsidR="0087523A">
        <w:rPr>
          <w:b/>
          <w:bCs/>
          <w:color w:val="000000" w:themeColor="text1"/>
        </w:rPr>
        <w:t>i 854</w:t>
      </w:r>
    </w:p>
    <w:p w:rsidR="00FA6A80" w:rsidRDefault="001620D4" w:rsidP="00FA6A80">
      <w:pPr>
        <w:pStyle w:val="Akapitzlist"/>
        <w:numPr>
          <w:ilvl w:val="0"/>
          <w:numId w:val="25"/>
        </w:numPr>
        <w:ind w:left="0" w:firstLine="0"/>
        <w:jc w:val="both"/>
        <w:rPr>
          <w:sz w:val="24"/>
          <w:szCs w:val="24"/>
        </w:rPr>
      </w:pPr>
      <w:r w:rsidRPr="004672FE">
        <w:rPr>
          <w:color w:val="000000" w:themeColor="text1"/>
          <w:sz w:val="24"/>
          <w:lang w:eastAsia="ar-SA"/>
        </w:rPr>
        <w:t>Podział środkó</w:t>
      </w:r>
      <w:r w:rsidR="002E0831">
        <w:rPr>
          <w:color w:val="000000" w:themeColor="text1"/>
          <w:sz w:val="24"/>
          <w:lang w:eastAsia="ar-SA"/>
        </w:rPr>
        <w:t xml:space="preserve">w finansowych Wydziału Edukacji dla SP Nr 1, </w:t>
      </w:r>
      <w:r w:rsidR="0080790B">
        <w:rPr>
          <w:color w:val="000000" w:themeColor="text1"/>
          <w:sz w:val="24"/>
          <w:lang w:eastAsia="ar-SA"/>
        </w:rPr>
        <w:t xml:space="preserve">SP NR 2, </w:t>
      </w:r>
      <w:r w:rsidR="002E0831">
        <w:rPr>
          <w:color w:val="000000" w:themeColor="text1"/>
          <w:sz w:val="24"/>
          <w:lang w:eastAsia="ar-SA"/>
        </w:rPr>
        <w:t>SP Nr 6</w:t>
      </w:r>
      <w:r w:rsidR="0080790B">
        <w:rPr>
          <w:color w:val="000000" w:themeColor="text1"/>
          <w:sz w:val="24"/>
          <w:lang w:eastAsia="ar-SA"/>
        </w:rPr>
        <w:t xml:space="preserve">, ZSP, </w:t>
      </w:r>
      <w:proofErr w:type="spellStart"/>
      <w:r w:rsidR="0080790B">
        <w:rPr>
          <w:color w:val="000000" w:themeColor="text1"/>
          <w:sz w:val="24"/>
          <w:lang w:eastAsia="ar-SA"/>
        </w:rPr>
        <w:t>CEZiT</w:t>
      </w:r>
      <w:proofErr w:type="spellEnd"/>
      <w:r w:rsidR="0080790B">
        <w:rPr>
          <w:color w:val="000000" w:themeColor="text1"/>
          <w:sz w:val="24"/>
          <w:lang w:eastAsia="ar-SA"/>
        </w:rPr>
        <w:t>, LO, PM NR 1,</w:t>
      </w:r>
      <w:r w:rsidR="002E0831">
        <w:rPr>
          <w:color w:val="000000" w:themeColor="text1"/>
          <w:sz w:val="24"/>
          <w:lang w:eastAsia="ar-SA"/>
        </w:rPr>
        <w:t xml:space="preserve"> PM Nr 3</w:t>
      </w:r>
      <w:r w:rsidR="0080790B">
        <w:rPr>
          <w:color w:val="000000" w:themeColor="text1"/>
          <w:sz w:val="24"/>
          <w:lang w:eastAsia="ar-SA"/>
        </w:rPr>
        <w:t>, PM NR 5, PM NR 9, PM NR 10, PM NR 11 i PPP</w:t>
      </w:r>
      <w:r w:rsidRPr="004672FE">
        <w:rPr>
          <w:color w:val="000000" w:themeColor="text1"/>
          <w:sz w:val="24"/>
          <w:lang w:eastAsia="ar-SA"/>
        </w:rPr>
        <w:t xml:space="preserve"> z przeznaczeniem </w:t>
      </w:r>
      <w:r w:rsidRPr="0080790B">
        <w:rPr>
          <w:color w:val="000000" w:themeColor="text1"/>
          <w:sz w:val="24"/>
          <w:szCs w:val="24"/>
          <w:lang w:eastAsia="ar-SA"/>
        </w:rPr>
        <w:t>na</w:t>
      </w:r>
      <w:r w:rsidR="00F41003" w:rsidRPr="0080790B">
        <w:rPr>
          <w:color w:val="000000" w:themeColor="text1"/>
          <w:sz w:val="24"/>
          <w:szCs w:val="24"/>
          <w:lang w:eastAsia="ar-SA"/>
        </w:rPr>
        <w:t xml:space="preserve"> </w:t>
      </w:r>
      <w:r w:rsidR="0080790B">
        <w:rPr>
          <w:sz w:val="24"/>
          <w:szCs w:val="24"/>
        </w:rPr>
        <w:t>wynagrodzenia</w:t>
      </w:r>
      <w:r w:rsidR="0080790B" w:rsidRPr="0080790B">
        <w:rPr>
          <w:sz w:val="24"/>
          <w:szCs w:val="24"/>
        </w:rPr>
        <w:t xml:space="preserve"> i</w:t>
      </w:r>
      <w:r w:rsidR="0080790B">
        <w:rPr>
          <w:sz w:val="24"/>
          <w:szCs w:val="24"/>
        </w:rPr>
        <w:t xml:space="preserve"> pochodne,</w:t>
      </w:r>
      <w:r w:rsidR="0080790B" w:rsidRPr="0080790B">
        <w:rPr>
          <w:sz w:val="24"/>
          <w:szCs w:val="24"/>
        </w:rPr>
        <w:t xml:space="preserve"> opłat za media oraz przeglądy techniczne,  zabezpieczenie środków na opłaty zaświadczenia BHP,</w:t>
      </w:r>
      <w:r w:rsidR="0080790B">
        <w:rPr>
          <w:sz w:val="24"/>
          <w:szCs w:val="24"/>
        </w:rPr>
        <w:t xml:space="preserve"> </w:t>
      </w:r>
      <w:r w:rsidR="0080790B" w:rsidRPr="0080790B">
        <w:rPr>
          <w:sz w:val="24"/>
          <w:szCs w:val="24"/>
        </w:rPr>
        <w:t xml:space="preserve">zakup środków czystości oraz art. papierniczych dla </w:t>
      </w:r>
      <w:r w:rsidR="00B012C6">
        <w:rPr>
          <w:sz w:val="24"/>
          <w:szCs w:val="24"/>
        </w:rPr>
        <w:t>szkół, przedszkoli i</w:t>
      </w:r>
      <w:r w:rsidR="0080790B" w:rsidRPr="0080790B">
        <w:rPr>
          <w:sz w:val="24"/>
          <w:szCs w:val="24"/>
        </w:rPr>
        <w:t xml:space="preserve"> placówek oświatowych</w:t>
      </w:r>
      <w:r w:rsidR="00441120">
        <w:rPr>
          <w:sz w:val="24"/>
          <w:szCs w:val="24"/>
        </w:rPr>
        <w:t xml:space="preserve"> oraz wypłatę stypendiów szkolnych</w:t>
      </w:r>
      <w:r w:rsidR="0080790B">
        <w:rPr>
          <w:sz w:val="24"/>
          <w:szCs w:val="24"/>
        </w:rPr>
        <w:t>.</w:t>
      </w:r>
    </w:p>
    <w:p w:rsidR="00FA6A80" w:rsidRDefault="00FA6A80" w:rsidP="00FA6A80">
      <w:pPr>
        <w:pStyle w:val="Akapitzlist"/>
        <w:numPr>
          <w:ilvl w:val="0"/>
          <w:numId w:val="2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Zmniejszenie planu wydatków </w:t>
      </w:r>
      <w:r w:rsidRPr="002B0449">
        <w:rPr>
          <w:sz w:val="24"/>
          <w:szCs w:val="24"/>
        </w:rPr>
        <w:t>„</w:t>
      </w:r>
      <w:r w:rsidR="002B0449" w:rsidRPr="002B0449">
        <w:rPr>
          <w:sz w:val="24"/>
          <w:szCs w:val="24"/>
        </w:rPr>
        <w:t>Przedszkole Miejskie nr 9 ul. Sosnowa – prace inwestycyjne</w:t>
      </w:r>
      <w:r w:rsidRPr="002B0449">
        <w:rPr>
          <w:sz w:val="24"/>
          <w:szCs w:val="24"/>
        </w:rPr>
        <w:t xml:space="preserve">” </w:t>
      </w:r>
      <w:r w:rsidR="00E41D94">
        <w:rPr>
          <w:sz w:val="24"/>
          <w:szCs w:val="24"/>
        </w:rPr>
        <w:t xml:space="preserve">możliwe </w:t>
      </w:r>
      <w:r>
        <w:rPr>
          <w:sz w:val="24"/>
          <w:szCs w:val="24"/>
        </w:rPr>
        <w:t xml:space="preserve">z uwagi na niższą niż zakładano pierwotnie wartość składanych ofert na realizację zadania, z przeznaczeniem na zwiększenie planu wydatków </w:t>
      </w:r>
      <w:r w:rsidRPr="00E41D94">
        <w:rPr>
          <w:sz w:val="24"/>
          <w:szCs w:val="24"/>
        </w:rPr>
        <w:t xml:space="preserve">Budowa placu zabaw – „Zabawy w dżungli” w Zespole </w:t>
      </w:r>
      <w:proofErr w:type="spellStart"/>
      <w:r w:rsidRPr="00E41D94">
        <w:rPr>
          <w:sz w:val="24"/>
          <w:szCs w:val="24"/>
        </w:rPr>
        <w:t>Szkolno</w:t>
      </w:r>
      <w:proofErr w:type="spellEnd"/>
      <w:r w:rsidRPr="00E41D94">
        <w:rPr>
          <w:sz w:val="24"/>
          <w:szCs w:val="24"/>
        </w:rPr>
        <w:t xml:space="preserve"> – Przedszkolnym przy ul. Sąsiedzkiej w Przytorze</w:t>
      </w:r>
      <w:r w:rsidR="001F3A2E">
        <w:rPr>
          <w:sz w:val="24"/>
          <w:szCs w:val="24"/>
        </w:rPr>
        <w:t xml:space="preserve"> gdzie pierwotnie wybrana oferta nie spełniała warunków formalnych i wystąpiła konieczność wyboru oferty z wyższą ceną</w:t>
      </w:r>
      <w:r w:rsidR="00E41D94">
        <w:rPr>
          <w:sz w:val="24"/>
          <w:szCs w:val="24"/>
        </w:rPr>
        <w:t xml:space="preserve"> – Wydział Inżyniera Miasta.</w:t>
      </w:r>
    </w:p>
    <w:p w:rsidR="002B0449" w:rsidRPr="00E41D94" w:rsidRDefault="00FE7113" w:rsidP="00FA6A80">
      <w:pPr>
        <w:pStyle w:val="Akapitzlist"/>
        <w:numPr>
          <w:ilvl w:val="0"/>
          <w:numId w:val="25"/>
        </w:numPr>
        <w:ind w:left="0" w:firstLine="0"/>
        <w:jc w:val="both"/>
        <w:rPr>
          <w:sz w:val="24"/>
          <w:szCs w:val="24"/>
        </w:rPr>
      </w:pPr>
      <w:r w:rsidRPr="006307A9">
        <w:rPr>
          <w:color w:val="000000" w:themeColor="text1"/>
          <w:sz w:val="24"/>
          <w:lang w:eastAsia="ar-SA"/>
        </w:rPr>
        <w:t>Przesunięcia pomiędzy paragrafami dla prawidłowego funkcjonowania jednostki oświatowej –</w:t>
      </w:r>
      <w:r>
        <w:rPr>
          <w:color w:val="000000" w:themeColor="text1"/>
          <w:sz w:val="24"/>
          <w:lang w:eastAsia="ar-SA"/>
        </w:rPr>
        <w:t xml:space="preserve"> PM NR 5, ZSP i SP NR 1.</w:t>
      </w:r>
    </w:p>
    <w:p w:rsidR="0065080E" w:rsidRPr="004672FE" w:rsidRDefault="002E0831" w:rsidP="00FA6A80">
      <w:pPr>
        <w:pStyle w:val="Akapitzlist"/>
        <w:ind w:left="0"/>
        <w:jc w:val="both"/>
        <w:rPr>
          <w:color w:val="000000" w:themeColor="text1"/>
          <w:sz w:val="24"/>
          <w:szCs w:val="24"/>
          <w:lang w:eastAsia="ar-SA"/>
        </w:rPr>
      </w:pPr>
      <w:r w:rsidRPr="00FA6A80">
        <w:rPr>
          <w:sz w:val="24"/>
          <w:szCs w:val="24"/>
        </w:rPr>
        <w:t xml:space="preserve"> </w:t>
      </w:r>
    </w:p>
    <w:p w:rsidR="00A47A7C" w:rsidRPr="00FB052A" w:rsidRDefault="00BA7F99" w:rsidP="00A47A7C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</w:t>
      </w:r>
      <w:r w:rsidR="00441120">
        <w:rPr>
          <w:b/>
          <w:bCs/>
          <w:color w:val="000000" w:themeColor="text1"/>
        </w:rPr>
        <w:t>ział 855</w:t>
      </w:r>
    </w:p>
    <w:p w:rsidR="007825E7" w:rsidRPr="00D47249" w:rsidRDefault="00D47249" w:rsidP="00D47249">
      <w:pPr>
        <w:jc w:val="both"/>
        <w:rPr>
          <w:bCs/>
          <w:color w:val="000000" w:themeColor="text1"/>
          <w:sz w:val="24"/>
          <w:szCs w:val="24"/>
        </w:rPr>
      </w:pPr>
      <w:r w:rsidRPr="00D47249">
        <w:rPr>
          <w:bCs/>
          <w:color w:val="000000" w:themeColor="text1"/>
          <w:sz w:val="24"/>
          <w:szCs w:val="24"/>
        </w:rPr>
        <w:t>Zmiana</w:t>
      </w:r>
      <w:r>
        <w:rPr>
          <w:bCs/>
          <w:color w:val="000000" w:themeColor="text1"/>
          <w:sz w:val="24"/>
          <w:szCs w:val="24"/>
        </w:rPr>
        <w:t xml:space="preserve"> w zakresie</w:t>
      </w:r>
      <w:r w:rsidRPr="00D47249">
        <w:rPr>
          <w:bCs/>
          <w:color w:val="000000" w:themeColor="text1"/>
          <w:sz w:val="24"/>
          <w:szCs w:val="24"/>
        </w:rPr>
        <w:t xml:space="preserve"> klasyfikacji (paragraf) wydatków zaplanowanych w ramach bieżąceg</w:t>
      </w:r>
      <w:r>
        <w:rPr>
          <w:bCs/>
          <w:color w:val="000000" w:themeColor="text1"/>
          <w:sz w:val="24"/>
          <w:szCs w:val="24"/>
        </w:rPr>
        <w:t>o funkcjonowania Wielofunkcyjnej Placówki Opiekuńczo Wychowawczej.</w:t>
      </w:r>
    </w:p>
    <w:p w:rsidR="00D47249" w:rsidRDefault="00D47249" w:rsidP="00ED1C32">
      <w:pPr>
        <w:rPr>
          <w:color w:val="FF0000"/>
        </w:rPr>
      </w:pPr>
    </w:p>
    <w:p w:rsidR="00D47249" w:rsidRPr="00FB052A" w:rsidRDefault="00D47249" w:rsidP="00D47249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Dział </w:t>
      </w:r>
      <w:r>
        <w:rPr>
          <w:b/>
          <w:bCs/>
          <w:color w:val="000000" w:themeColor="text1"/>
        </w:rPr>
        <w:t>900</w:t>
      </w:r>
    </w:p>
    <w:p w:rsidR="00D47249" w:rsidRPr="00D47249" w:rsidRDefault="00D47249" w:rsidP="00D47249">
      <w:pPr>
        <w:suppressAutoHyphens/>
        <w:jc w:val="both"/>
        <w:rPr>
          <w:sz w:val="24"/>
          <w:szCs w:val="24"/>
          <w:lang w:eastAsia="ar-SA"/>
        </w:rPr>
      </w:pPr>
      <w:r w:rsidRPr="00D47249">
        <w:rPr>
          <w:sz w:val="24"/>
          <w:szCs w:val="24"/>
          <w:lang w:eastAsia="ar-SA"/>
        </w:rPr>
        <w:t>Zwiększenie planu wydatków na zakup ławek parkowych, które będą usytuowane w obrębie wybiegu dla psów.</w:t>
      </w:r>
      <w:r>
        <w:rPr>
          <w:sz w:val="24"/>
          <w:szCs w:val="24"/>
          <w:lang w:eastAsia="ar-SA"/>
        </w:rPr>
        <w:t xml:space="preserve"> </w:t>
      </w:r>
      <w:r w:rsidRPr="00D47249">
        <w:rPr>
          <w:sz w:val="24"/>
          <w:szCs w:val="24"/>
          <w:lang w:eastAsia="ar-SA"/>
        </w:rPr>
        <w:t>W tym celu zmniejszono wydatki na zakup usług pozostałych, związanych wykonaniem dodatkowy</w:t>
      </w:r>
      <w:r>
        <w:rPr>
          <w:sz w:val="24"/>
          <w:szCs w:val="24"/>
          <w:lang w:eastAsia="ar-SA"/>
        </w:rPr>
        <w:t xml:space="preserve">ch prac przy utrzymaniu zieleni - </w:t>
      </w:r>
      <w:r>
        <w:rPr>
          <w:sz w:val="24"/>
          <w:szCs w:val="24"/>
        </w:rPr>
        <w:t>Wydział Infrastruktury i Zieleni Miejskiej</w:t>
      </w:r>
      <w:r>
        <w:rPr>
          <w:sz w:val="24"/>
          <w:szCs w:val="24"/>
        </w:rPr>
        <w:t>.</w:t>
      </w:r>
    </w:p>
    <w:p w:rsidR="00D47249" w:rsidRPr="006307A9" w:rsidRDefault="00D47249" w:rsidP="00ED1C32">
      <w:pPr>
        <w:rPr>
          <w:color w:val="FF0000"/>
        </w:rPr>
      </w:pPr>
    </w:p>
    <w:p w:rsidR="00962ABF" w:rsidRPr="00525635" w:rsidRDefault="00D47249" w:rsidP="00962ABF">
      <w:pPr>
        <w:pStyle w:val="Zawartoramki"/>
        <w:suppressAutoHyphens w:val="0"/>
        <w:rPr>
          <w:b/>
          <w:bCs/>
          <w:color w:val="000000" w:themeColor="text1"/>
        </w:rPr>
      </w:pPr>
      <w:bookmarkStart w:id="0" w:name="_GoBack"/>
      <w:r w:rsidRPr="00525635">
        <w:rPr>
          <w:b/>
          <w:bCs/>
          <w:color w:val="000000" w:themeColor="text1"/>
        </w:rPr>
        <w:t>Dział 921</w:t>
      </w:r>
    </w:p>
    <w:p w:rsidR="00695CAC" w:rsidRPr="00525635" w:rsidRDefault="00695CAC" w:rsidP="00962ABF">
      <w:pPr>
        <w:pStyle w:val="Zawartoramki"/>
        <w:suppressAutoHyphens w:val="0"/>
        <w:rPr>
          <w:b/>
          <w:bCs/>
          <w:color w:val="000000" w:themeColor="text1"/>
        </w:rPr>
      </w:pPr>
      <w:r w:rsidRPr="00525635">
        <w:rPr>
          <w:bCs/>
          <w:color w:val="000000" w:themeColor="text1"/>
          <w:szCs w:val="24"/>
        </w:rPr>
        <w:t>Zabez</w:t>
      </w:r>
      <w:r w:rsidR="008D2890" w:rsidRPr="00525635">
        <w:rPr>
          <w:bCs/>
          <w:color w:val="000000" w:themeColor="text1"/>
          <w:szCs w:val="24"/>
        </w:rPr>
        <w:t>pieczenie środków finansowych ze zwróconej dotacji</w:t>
      </w:r>
      <w:r w:rsidR="00525635" w:rsidRPr="00525635">
        <w:rPr>
          <w:bCs/>
          <w:color w:val="000000" w:themeColor="text1"/>
          <w:szCs w:val="24"/>
        </w:rPr>
        <w:t xml:space="preserve"> celowej</w:t>
      </w:r>
      <w:r w:rsidR="008D2890" w:rsidRPr="00525635">
        <w:rPr>
          <w:bCs/>
          <w:color w:val="000000" w:themeColor="text1"/>
          <w:szCs w:val="24"/>
        </w:rPr>
        <w:t xml:space="preserve"> udzielonej Miejskiemu Domu Kultury</w:t>
      </w:r>
      <w:r w:rsidR="00525635" w:rsidRPr="00525635">
        <w:rPr>
          <w:bCs/>
          <w:color w:val="000000" w:themeColor="text1"/>
          <w:szCs w:val="24"/>
        </w:rPr>
        <w:t xml:space="preserve"> na realizację Świnoujskiego Lata Kultury, z przeznaczeniem na zakup samochodu ciężarowego dla MDK </w:t>
      </w:r>
      <w:r w:rsidRPr="00525635">
        <w:rPr>
          <w:bCs/>
          <w:color w:val="000000" w:themeColor="text1"/>
          <w:szCs w:val="24"/>
        </w:rPr>
        <w:t>- Wydział Promocji, Turystyki, Kultury i Sportu.</w:t>
      </w:r>
      <w:bookmarkEnd w:id="0"/>
    </w:p>
    <w:sectPr w:rsidR="00695CAC" w:rsidRPr="0052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0"/>
  </w:num>
  <w:num w:numId="5">
    <w:abstractNumId w:val="2"/>
  </w:num>
  <w:num w:numId="6">
    <w:abstractNumId w:val="16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22"/>
  </w:num>
  <w:num w:numId="15">
    <w:abstractNumId w:val="4"/>
  </w:num>
  <w:num w:numId="16">
    <w:abstractNumId w:val="26"/>
  </w:num>
  <w:num w:numId="17">
    <w:abstractNumId w:val="23"/>
  </w:num>
  <w:num w:numId="18">
    <w:abstractNumId w:val="25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15"/>
  </w:num>
  <w:num w:numId="24">
    <w:abstractNumId w:val="3"/>
  </w:num>
  <w:num w:numId="25">
    <w:abstractNumId w:val="5"/>
  </w:num>
  <w:num w:numId="26">
    <w:abstractNumId w:val="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67176"/>
    <w:rsid w:val="002945E4"/>
    <w:rsid w:val="002A2EB0"/>
    <w:rsid w:val="002A47AD"/>
    <w:rsid w:val="002B0449"/>
    <w:rsid w:val="002B670B"/>
    <w:rsid w:val="002E0831"/>
    <w:rsid w:val="002E3D50"/>
    <w:rsid w:val="0032180B"/>
    <w:rsid w:val="0032228A"/>
    <w:rsid w:val="0035757A"/>
    <w:rsid w:val="003A3621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70F3"/>
    <w:rsid w:val="004672FE"/>
    <w:rsid w:val="00475DBB"/>
    <w:rsid w:val="00477127"/>
    <w:rsid w:val="00495157"/>
    <w:rsid w:val="004A1335"/>
    <w:rsid w:val="004A3167"/>
    <w:rsid w:val="005021C8"/>
    <w:rsid w:val="0050245A"/>
    <w:rsid w:val="00502A61"/>
    <w:rsid w:val="00523368"/>
    <w:rsid w:val="00525635"/>
    <w:rsid w:val="005359D5"/>
    <w:rsid w:val="00542C2B"/>
    <w:rsid w:val="005460B8"/>
    <w:rsid w:val="00560070"/>
    <w:rsid w:val="005701B6"/>
    <w:rsid w:val="00574926"/>
    <w:rsid w:val="00575A1E"/>
    <w:rsid w:val="005A38F1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95CAC"/>
    <w:rsid w:val="006C3CF6"/>
    <w:rsid w:val="006C5FBA"/>
    <w:rsid w:val="006D22F4"/>
    <w:rsid w:val="006D230E"/>
    <w:rsid w:val="006D2CA6"/>
    <w:rsid w:val="00707A7E"/>
    <w:rsid w:val="007533D5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37D36"/>
    <w:rsid w:val="008536DB"/>
    <w:rsid w:val="00856635"/>
    <w:rsid w:val="00864A24"/>
    <w:rsid w:val="0087523A"/>
    <w:rsid w:val="0088753E"/>
    <w:rsid w:val="008A2E1C"/>
    <w:rsid w:val="008A786B"/>
    <w:rsid w:val="008B721F"/>
    <w:rsid w:val="008C73C4"/>
    <w:rsid w:val="008D2890"/>
    <w:rsid w:val="008D4B2C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47A7C"/>
    <w:rsid w:val="00A54852"/>
    <w:rsid w:val="00A66E58"/>
    <w:rsid w:val="00A70C4F"/>
    <w:rsid w:val="00A84DC0"/>
    <w:rsid w:val="00A867C2"/>
    <w:rsid w:val="00A943F9"/>
    <w:rsid w:val="00AB4246"/>
    <w:rsid w:val="00AC1A2B"/>
    <w:rsid w:val="00AD41C7"/>
    <w:rsid w:val="00AD4738"/>
    <w:rsid w:val="00AF0640"/>
    <w:rsid w:val="00B012C6"/>
    <w:rsid w:val="00B12D64"/>
    <w:rsid w:val="00B13394"/>
    <w:rsid w:val="00B22087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C101A0"/>
    <w:rsid w:val="00C2568D"/>
    <w:rsid w:val="00C31C4D"/>
    <w:rsid w:val="00C34845"/>
    <w:rsid w:val="00C63ED1"/>
    <w:rsid w:val="00C750EB"/>
    <w:rsid w:val="00C8361E"/>
    <w:rsid w:val="00C846E2"/>
    <w:rsid w:val="00CB4082"/>
    <w:rsid w:val="00CB78B8"/>
    <w:rsid w:val="00CC2B27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311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A6A80"/>
    <w:rsid w:val="00FB052A"/>
    <w:rsid w:val="00FB59FF"/>
    <w:rsid w:val="00FC4B9E"/>
    <w:rsid w:val="00FC5416"/>
    <w:rsid w:val="00FE4BEC"/>
    <w:rsid w:val="00FE7113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7B6D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72</cp:revision>
  <cp:lastPrinted>2021-11-04T11:51:00Z</cp:lastPrinted>
  <dcterms:created xsi:type="dcterms:W3CDTF">2021-03-04T08:49:00Z</dcterms:created>
  <dcterms:modified xsi:type="dcterms:W3CDTF">2021-11-05T11:30:00Z</dcterms:modified>
</cp:coreProperties>
</file>