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EE" w:rsidRPr="00420DAE" w:rsidRDefault="000074EE" w:rsidP="000074EE">
      <w:pPr>
        <w:widowControl w:val="0"/>
        <w:autoSpaceDE w:val="0"/>
        <w:autoSpaceDN w:val="0"/>
        <w:adjustRightInd w:val="0"/>
        <w:ind w:left="78"/>
        <w:jc w:val="center"/>
        <w:rPr>
          <w:b/>
          <w:color w:val="000000" w:themeColor="text1"/>
        </w:rPr>
      </w:pPr>
      <w:r w:rsidRPr="00420DAE">
        <w:rPr>
          <w:b/>
          <w:color w:val="000000" w:themeColor="text1"/>
        </w:rPr>
        <w:t xml:space="preserve">INFORMACJA DODATKOWA </w:t>
      </w:r>
    </w:p>
    <w:p w:rsidR="000074EE" w:rsidRPr="00420DAE" w:rsidRDefault="000074EE" w:rsidP="000074EE">
      <w:pPr>
        <w:widowControl w:val="0"/>
        <w:autoSpaceDE w:val="0"/>
        <w:autoSpaceDN w:val="0"/>
        <w:adjustRightInd w:val="0"/>
        <w:ind w:left="78"/>
        <w:jc w:val="center"/>
        <w:rPr>
          <w:b/>
          <w:color w:val="000000" w:themeColor="text1"/>
        </w:rPr>
      </w:pPr>
      <w:r w:rsidRPr="00420DAE">
        <w:rPr>
          <w:b/>
          <w:color w:val="000000" w:themeColor="text1"/>
        </w:rPr>
        <w:t xml:space="preserve">DO SPRAWOZDANIA FINANSOWEGO </w:t>
      </w:r>
    </w:p>
    <w:p w:rsidR="000074EE" w:rsidRPr="00420DAE" w:rsidRDefault="005874FA" w:rsidP="000074EE">
      <w:pPr>
        <w:widowControl w:val="0"/>
        <w:autoSpaceDE w:val="0"/>
        <w:autoSpaceDN w:val="0"/>
        <w:adjustRightInd w:val="0"/>
        <w:ind w:left="7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GMINY MIASTO ŚWINOUJŚCIE ZA 2020</w:t>
      </w:r>
      <w:r w:rsidR="000074EE" w:rsidRPr="00420DAE">
        <w:rPr>
          <w:b/>
          <w:color w:val="000000" w:themeColor="text1"/>
        </w:rPr>
        <w:t xml:space="preserve"> ROK</w:t>
      </w:r>
    </w:p>
    <w:p w:rsidR="000074EE" w:rsidRPr="00420DAE" w:rsidRDefault="000074EE" w:rsidP="000074EE">
      <w:pPr>
        <w:widowControl w:val="0"/>
        <w:autoSpaceDE w:val="0"/>
        <w:autoSpaceDN w:val="0"/>
        <w:adjustRightInd w:val="0"/>
        <w:ind w:left="78"/>
        <w:rPr>
          <w:color w:val="000000" w:themeColor="text1"/>
        </w:rPr>
      </w:pPr>
    </w:p>
    <w:p w:rsidR="00654A6D" w:rsidRPr="009C5A49" w:rsidRDefault="00654A6D" w:rsidP="00000F0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348"/>
        <w:rPr>
          <w:b/>
          <w:color w:val="000000" w:themeColor="text1"/>
        </w:rPr>
      </w:pPr>
      <w:r w:rsidRPr="009C5A49">
        <w:rPr>
          <w:b/>
          <w:color w:val="000000" w:themeColor="text1"/>
        </w:rPr>
        <w:t>Wprowadzenie do sprawozdania finansowego:</w:t>
      </w:r>
    </w:p>
    <w:p w:rsidR="00AA4AFF" w:rsidRDefault="00DE070F" w:rsidP="00EA2A2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420DAE">
        <w:rPr>
          <w:color w:val="000000" w:themeColor="text1"/>
        </w:rPr>
        <w:t>Nazwa i siedziba jednostki: Gmina Miasto Świnoujści</w:t>
      </w:r>
      <w:r w:rsidR="00CC30E9" w:rsidRPr="00420DAE">
        <w:rPr>
          <w:color w:val="000000" w:themeColor="text1"/>
        </w:rPr>
        <w:t xml:space="preserve">e, ul. Wojska Polskiego 1/5, </w:t>
      </w:r>
    </w:p>
    <w:p w:rsidR="00DE070F" w:rsidRPr="00420DAE" w:rsidRDefault="00EA2A2B" w:rsidP="00AA4AFF">
      <w:pPr>
        <w:pStyle w:val="Akapitzlist"/>
        <w:widowControl w:val="0"/>
        <w:autoSpaceDE w:val="0"/>
        <w:autoSpaceDN w:val="0"/>
        <w:adjustRightInd w:val="0"/>
        <w:ind w:left="438"/>
        <w:jc w:val="both"/>
        <w:rPr>
          <w:color w:val="000000" w:themeColor="text1"/>
        </w:rPr>
      </w:pPr>
      <w:r w:rsidRPr="00420DAE">
        <w:rPr>
          <w:color w:val="000000" w:themeColor="text1"/>
        </w:rPr>
        <w:t xml:space="preserve"> 72-</w:t>
      </w:r>
      <w:r w:rsidR="00CC30E9" w:rsidRPr="00420DAE">
        <w:rPr>
          <w:color w:val="000000" w:themeColor="text1"/>
        </w:rPr>
        <w:t xml:space="preserve">600 </w:t>
      </w:r>
      <w:r w:rsidR="00DE070F" w:rsidRPr="00420DAE">
        <w:rPr>
          <w:color w:val="000000" w:themeColor="text1"/>
        </w:rPr>
        <w:t>Świnoujście,</w:t>
      </w:r>
    </w:p>
    <w:p w:rsidR="00DE070F" w:rsidRPr="00420DAE" w:rsidRDefault="00595F56" w:rsidP="00DE070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</w:rPr>
      </w:pPr>
      <w:r w:rsidRPr="00420DAE">
        <w:rPr>
          <w:color w:val="000000" w:themeColor="text1"/>
        </w:rPr>
        <w:t>Podstawowy przedmiot działalności jednostki:</w:t>
      </w:r>
    </w:p>
    <w:p w:rsidR="007D06B5" w:rsidRPr="00420DAE" w:rsidRDefault="007D06B5" w:rsidP="007D06B5">
      <w:pPr>
        <w:pStyle w:val="Akapitzlist"/>
        <w:ind w:left="438"/>
        <w:jc w:val="both"/>
        <w:rPr>
          <w:color w:val="000000" w:themeColor="text1"/>
        </w:rPr>
      </w:pPr>
      <w:r w:rsidRPr="00420DAE">
        <w:rPr>
          <w:color w:val="000000" w:themeColor="text1"/>
        </w:rPr>
        <w:t xml:space="preserve">Podstawowym przedmiotem działalności Gminy jest </w:t>
      </w:r>
      <w:r w:rsidR="00726462" w:rsidRPr="00420DAE">
        <w:rPr>
          <w:color w:val="000000" w:themeColor="text1"/>
        </w:rPr>
        <w:t>realizacja zadań publicznych o </w:t>
      </w:r>
      <w:r w:rsidRPr="00420DAE">
        <w:rPr>
          <w:color w:val="000000" w:themeColor="text1"/>
        </w:rPr>
        <w:t>charakterze lokalnym, tj. zaspokajanie zbiorowych potrzeb mieszkańców - członków wspólnoty samorządowej, poprzez realizację w wymiarze lokalnym ustawowo określonych zadań własnych w sferze: ładu przestrzennego, gospodarki nieruchomościami, ochrony środowiska i przyrody oraz gospodarki wodnej, gminnych dróg, ulic, mostów, placów oraz organizacji</w:t>
      </w:r>
      <w:r w:rsidR="00726462" w:rsidRPr="00420DAE">
        <w:rPr>
          <w:color w:val="000000" w:themeColor="text1"/>
        </w:rPr>
        <w:t xml:space="preserve"> ruchu drogowego, wodociągów i </w:t>
      </w:r>
      <w:r w:rsidRPr="00420DAE">
        <w:rPr>
          <w:color w:val="000000" w:themeColor="text1"/>
        </w:rPr>
        <w:t xml:space="preserve">zaopatrzenia </w:t>
      </w:r>
      <w:r w:rsidR="009170A1" w:rsidRPr="00420DAE">
        <w:rPr>
          <w:color w:val="000000" w:themeColor="text1"/>
        </w:rPr>
        <w:t>w wodę, kanalizacji, usuwania i </w:t>
      </w:r>
      <w:r w:rsidRPr="00420DAE">
        <w:rPr>
          <w:color w:val="000000" w:themeColor="text1"/>
        </w:rPr>
        <w:t>oczyszczania ścieków komunalnych, utrzymania czystości i porządku oraz urządzeń sanitarnych, wysypisk i unieszkodliwiania odpadów komunalnych, zaopatrzenia w energię elektryczną i cieplną oraz gaz, działalności w zakresie telekomunikacji, lokalnego transportu zbiorowego, ochrony zdrowia, pomocy społecznej, w tym ośrodków i zakładów opiekuńczych, wspierania rodziny i systemu pieczy zastępczej, gminnego budownictwa mieszkaniowego, edukacji publicznej, kultury, w tym bibliotek gminnych i innych instytucji kultury oraz ochrony zabytków i opieki nad zabytkami, kultury fizycznej i turystyki, w tym terenów rekreacyjnych i urządzeń sportowych, targowisk i h</w:t>
      </w:r>
      <w:r w:rsidR="00726462" w:rsidRPr="00420DAE">
        <w:rPr>
          <w:color w:val="000000" w:themeColor="text1"/>
        </w:rPr>
        <w:t>al targowych, zieleni gminnej i </w:t>
      </w:r>
      <w:proofErr w:type="spellStart"/>
      <w:r w:rsidRPr="00420DAE">
        <w:rPr>
          <w:color w:val="000000" w:themeColor="text1"/>
        </w:rPr>
        <w:t>zadrzewień</w:t>
      </w:r>
      <w:proofErr w:type="spellEnd"/>
      <w:r w:rsidRPr="00420DAE">
        <w:rPr>
          <w:color w:val="000000" w:themeColor="text1"/>
        </w:rPr>
        <w:t>, cmentarzy gminnych, porządku publicznego i bezpieczeństwa obywateli oraz ochron</w:t>
      </w:r>
      <w:r w:rsidR="009170A1" w:rsidRPr="00420DAE">
        <w:rPr>
          <w:color w:val="000000" w:themeColor="text1"/>
        </w:rPr>
        <w:t>y przeciwpożarowej i </w:t>
      </w:r>
      <w:r w:rsidRPr="00420DAE">
        <w:rPr>
          <w:color w:val="000000" w:themeColor="text1"/>
        </w:rPr>
        <w:t>przeciwpowodziowej, w tym wyposażenia i utrzymania gminnego magazynu przeciwpowodziowego, utrzymania gminnych obiektów i urządzeń użyteczności publicznej oraz obiektów administracyjnych, polityki prorodzinnej, w tym zapewnienia kobietom w ciąży opieki socjalnej, me</w:t>
      </w:r>
      <w:r w:rsidR="00726462" w:rsidRPr="00420DAE">
        <w:rPr>
          <w:color w:val="000000" w:themeColor="text1"/>
        </w:rPr>
        <w:t>dycznej i prawnej, wspierania i </w:t>
      </w:r>
      <w:r w:rsidRPr="00420DAE">
        <w:rPr>
          <w:color w:val="000000" w:themeColor="text1"/>
        </w:rPr>
        <w:t>upowszechniania idei samorządowej, w tym tw</w:t>
      </w:r>
      <w:r w:rsidR="00726462" w:rsidRPr="00420DAE">
        <w:rPr>
          <w:color w:val="000000" w:themeColor="text1"/>
        </w:rPr>
        <w:t>orzenia warunków do działania i </w:t>
      </w:r>
      <w:r w:rsidRPr="00420DAE">
        <w:rPr>
          <w:color w:val="000000" w:themeColor="text1"/>
        </w:rPr>
        <w:t>rozwoju</w:t>
      </w:r>
      <w:r w:rsidR="003A1794" w:rsidRPr="00420DAE">
        <w:rPr>
          <w:color w:val="000000" w:themeColor="text1"/>
        </w:rPr>
        <w:t xml:space="preserve"> </w:t>
      </w:r>
      <w:r w:rsidRPr="00420DAE">
        <w:rPr>
          <w:color w:val="000000" w:themeColor="text1"/>
        </w:rPr>
        <w:t>jednostek pomocniczych i wdrażania programów pobudzania aktywności obywatelskiej, promocji gminy, współpracy i działalności na rzecz organizacji pozarządowych podmi</w:t>
      </w:r>
      <w:r w:rsidR="009170A1" w:rsidRPr="00420DAE">
        <w:rPr>
          <w:color w:val="000000" w:themeColor="text1"/>
        </w:rPr>
        <w:t>otów prowadzących działalność w </w:t>
      </w:r>
      <w:r w:rsidRPr="00420DAE">
        <w:rPr>
          <w:color w:val="000000" w:themeColor="text1"/>
        </w:rPr>
        <w:t>sferze pożytku publicznego, współpracy ze społecznościami lokalnymi i regionalnymi innych państw.</w:t>
      </w:r>
    </w:p>
    <w:p w:rsidR="00595F56" w:rsidRPr="00420DAE" w:rsidRDefault="00726462" w:rsidP="00DE070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</w:rPr>
      </w:pPr>
      <w:r w:rsidRPr="00420DAE">
        <w:rPr>
          <w:color w:val="000000" w:themeColor="text1"/>
        </w:rPr>
        <w:t>Okres objęty sprawozdaniem finansowy</w:t>
      </w:r>
      <w:r w:rsidR="004068AC" w:rsidRPr="00420DAE">
        <w:rPr>
          <w:color w:val="000000" w:themeColor="text1"/>
        </w:rPr>
        <w:t>m:</w:t>
      </w:r>
      <w:r w:rsidR="00AA4AFF">
        <w:rPr>
          <w:color w:val="000000" w:themeColor="text1"/>
        </w:rPr>
        <w:t xml:space="preserve"> 01.01.2020</w:t>
      </w:r>
      <w:r w:rsidR="00765EAE" w:rsidRPr="00420DAE">
        <w:rPr>
          <w:color w:val="000000" w:themeColor="text1"/>
        </w:rPr>
        <w:t xml:space="preserve"> r.</w:t>
      </w:r>
      <w:r w:rsidR="00AA4AFF">
        <w:rPr>
          <w:color w:val="000000" w:themeColor="text1"/>
        </w:rPr>
        <w:t xml:space="preserve"> – 31.12.2020</w:t>
      </w:r>
      <w:r w:rsidR="00765EAE" w:rsidRPr="00420DAE">
        <w:rPr>
          <w:color w:val="000000" w:themeColor="text1"/>
        </w:rPr>
        <w:t xml:space="preserve"> r</w:t>
      </w:r>
      <w:r w:rsidR="004901D8" w:rsidRPr="00420DAE">
        <w:rPr>
          <w:color w:val="000000" w:themeColor="text1"/>
        </w:rPr>
        <w:t>.</w:t>
      </w:r>
    </w:p>
    <w:p w:rsidR="00726462" w:rsidRPr="00420DAE" w:rsidRDefault="00726462" w:rsidP="00AC1E0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420DAE">
        <w:rPr>
          <w:color w:val="000000" w:themeColor="text1"/>
        </w:rPr>
        <w:t>Sprawozdanie</w:t>
      </w:r>
      <w:r w:rsidR="000F2635" w:rsidRPr="00420DAE">
        <w:rPr>
          <w:color w:val="000000" w:themeColor="text1"/>
        </w:rPr>
        <w:t xml:space="preserve"> finansowe Gminy</w:t>
      </w:r>
      <w:r w:rsidRPr="00420DAE">
        <w:rPr>
          <w:color w:val="000000" w:themeColor="text1"/>
        </w:rPr>
        <w:t xml:space="preserve"> </w:t>
      </w:r>
      <w:r w:rsidR="00AC1E01" w:rsidRPr="00420DAE">
        <w:rPr>
          <w:color w:val="000000" w:themeColor="text1"/>
        </w:rPr>
        <w:t>zostało sporządzone w zł i gr</w:t>
      </w:r>
      <w:r w:rsidR="00AA4AFF">
        <w:rPr>
          <w:color w:val="000000" w:themeColor="text1"/>
        </w:rPr>
        <w:t>.</w:t>
      </w:r>
      <w:r w:rsidR="00AC1E01" w:rsidRPr="00420DAE">
        <w:rPr>
          <w:color w:val="000000" w:themeColor="text1"/>
        </w:rPr>
        <w:t xml:space="preserve"> Rachunek zysków i strat sporządzono w wersji porównawczej. Sprawozdanie z</w:t>
      </w:r>
      <w:r w:rsidRPr="00420DAE">
        <w:rPr>
          <w:color w:val="000000" w:themeColor="text1"/>
        </w:rPr>
        <w:t>awiera łącz</w:t>
      </w:r>
      <w:r w:rsidR="000F2635" w:rsidRPr="00420DAE">
        <w:rPr>
          <w:color w:val="000000" w:themeColor="text1"/>
        </w:rPr>
        <w:t>ne dane jednostek wchodzących w skład jednostk</w:t>
      </w:r>
      <w:r w:rsidR="004068AC" w:rsidRPr="00420DAE">
        <w:rPr>
          <w:color w:val="000000" w:themeColor="text1"/>
        </w:rPr>
        <w:t>i samorządu terytorialnego i któ</w:t>
      </w:r>
      <w:r w:rsidR="00420DAE">
        <w:rPr>
          <w:color w:val="000000" w:themeColor="text1"/>
        </w:rPr>
        <w:t xml:space="preserve">re sporządzają </w:t>
      </w:r>
      <w:r w:rsidR="000F2635" w:rsidRPr="00420DAE">
        <w:rPr>
          <w:color w:val="000000" w:themeColor="text1"/>
        </w:rPr>
        <w:t>samodzielne sprawozdania finansowe</w:t>
      </w:r>
      <w:r w:rsidRPr="00420DAE">
        <w:rPr>
          <w:color w:val="000000" w:themeColor="text1"/>
        </w:rPr>
        <w:t>, tj.:</w:t>
      </w:r>
    </w:p>
    <w:p w:rsidR="000F2635" w:rsidRPr="00420DAE" w:rsidRDefault="000F2635" w:rsidP="000F2635">
      <w:pPr>
        <w:widowControl w:val="0"/>
        <w:numPr>
          <w:ilvl w:val="0"/>
          <w:numId w:val="4"/>
        </w:numPr>
        <w:suppressAutoHyphens/>
        <w:ind w:left="567" w:hanging="283"/>
        <w:jc w:val="both"/>
        <w:rPr>
          <w:rFonts w:eastAsia="Arial Unicode MS"/>
          <w:color w:val="000000" w:themeColor="text1"/>
        </w:rPr>
      </w:pPr>
      <w:r w:rsidRPr="00420DAE">
        <w:rPr>
          <w:rFonts w:eastAsia="Arial Unicode MS"/>
          <w:color w:val="000000" w:themeColor="text1"/>
        </w:rPr>
        <w:t>Jednostki budżetowe:</w:t>
      </w:r>
    </w:p>
    <w:p w:rsidR="000F2635" w:rsidRPr="00E6102E" w:rsidRDefault="000F2635" w:rsidP="000F2635">
      <w:pPr>
        <w:widowControl w:val="0"/>
        <w:numPr>
          <w:ilvl w:val="0"/>
          <w:numId w:val="6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Urząd Miasta Świnoujście, ul. Wojska Polskiego 1/5, 72-600 Świnoujście,</w:t>
      </w:r>
    </w:p>
    <w:p w:rsidR="000F2635" w:rsidRPr="00E6102E" w:rsidRDefault="000F2635" w:rsidP="000F2635">
      <w:pPr>
        <w:widowControl w:val="0"/>
        <w:numPr>
          <w:ilvl w:val="0"/>
          <w:numId w:val="6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Żegluga Świnoujska, ul. Wybrzeże Władysława IV 12, 72-600 Świnoujście,</w:t>
      </w:r>
    </w:p>
    <w:p w:rsidR="000F2635" w:rsidRPr="00E6102E" w:rsidRDefault="000F2635" w:rsidP="000F2635">
      <w:pPr>
        <w:widowControl w:val="0"/>
        <w:numPr>
          <w:ilvl w:val="0"/>
          <w:numId w:val="6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Miejski Ośrodek Pomocy Rodzinie, ul. J. Dąbrowskiego 4, 72-600 Świnoujście,</w:t>
      </w:r>
    </w:p>
    <w:p w:rsidR="00E6102E" w:rsidRPr="00E6102E" w:rsidRDefault="000F2635" w:rsidP="000F2635">
      <w:pPr>
        <w:widowControl w:val="0"/>
        <w:numPr>
          <w:ilvl w:val="0"/>
          <w:numId w:val="6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 xml:space="preserve">Komenda Miejska Państwowej Straży Pożarnej, ul. Barlickiego 18, </w:t>
      </w:r>
    </w:p>
    <w:p w:rsidR="000F2635" w:rsidRPr="00E6102E" w:rsidRDefault="000F2635" w:rsidP="00E6102E">
      <w:pPr>
        <w:widowControl w:val="0"/>
        <w:suppressAutoHyphens/>
        <w:ind w:left="851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72-602 Świnoujście,</w:t>
      </w:r>
    </w:p>
    <w:p w:rsidR="000F2635" w:rsidRPr="00E6102E" w:rsidRDefault="000F2635" w:rsidP="000F2635">
      <w:pPr>
        <w:widowControl w:val="0"/>
        <w:numPr>
          <w:ilvl w:val="0"/>
          <w:numId w:val="6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Powiatowy Urząd Pracy ul. Wojska Polskiego 1/2A, 72-600 Świnoujście,</w:t>
      </w:r>
    </w:p>
    <w:p w:rsidR="00E6102E" w:rsidRPr="00E6102E" w:rsidRDefault="000F2635" w:rsidP="000F2635">
      <w:pPr>
        <w:widowControl w:val="0"/>
        <w:numPr>
          <w:ilvl w:val="0"/>
          <w:numId w:val="6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 xml:space="preserve">Powiatowy Inspektorat Nadzoru Budowlanego, ul. Wojska Polskiego 1/2, </w:t>
      </w:r>
    </w:p>
    <w:p w:rsidR="000F2635" w:rsidRPr="00E6102E" w:rsidRDefault="000F2635" w:rsidP="00E6102E">
      <w:pPr>
        <w:widowControl w:val="0"/>
        <w:suppressAutoHyphens/>
        <w:ind w:left="851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72-600 Świnoujście,</w:t>
      </w:r>
    </w:p>
    <w:p w:rsidR="000F2635" w:rsidRPr="00E6102E" w:rsidRDefault="000F2635" w:rsidP="000F2635">
      <w:pPr>
        <w:widowControl w:val="0"/>
        <w:numPr>
          <w:ilvl w:val="0"/>
          <w:numId w:val="6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Żłobek Miejski „Kubuś Puchatek”, ul. Wyspiańskiego 2, 72-600 Świnoujście,</w:t>
      </w:r>
    </w:p>
    <w:p w:rsidR="00E6102E" w:rsidRPr="00E6102E" w:rsidRDefault="000F2635" w:rsidP="000F2635">
      <w:pPr>
        <w:widowControl w:val="0"/>
        <w:numPr>
          <w:ilvl w:val="0"/>
          <w:numId w:val="6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 xml:space="preserve">Wielofunkcyjna Placówka Opiekuńczo-Wychowawcza, ul. Piastowska 55, </w:t>
      </w:r>
    </w:p>
    <w:p w:rsidR="000F2635" w:rsidRPr="00E6102E" w:rsidRDefault="000F2635" w:rsidP="00E6102E">
      <w:pPr>
        <w:widowControl w:val="0"/>
        <w:suppressAutoHyphens/>
        <w:ind w:left="851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72-600 Świnoujście,</w:t>
      </w:r>
    </w:p>
    <w:p w:rsidR="00E6102E" w:rsidRPr="00E6102E" w:rsidRDefault="000F2635" w:rsidP="000F2635">
      <w:pPr>
        <w:widowControl w:val="0"/>
        <w:numPr>
          <w:ilvl w:val="0"/>
          <w:numId w:val="6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 xml:space="preserve">Szkoła Podstawowa nr 1 im. Marynarki Wojennej R.P., ul. Narutowicza 10, </w:t>
      </w:r>
    </w:p>
    <w:p w:rsidR="000F2635" w:rsidRPr="00E6102E" w:rsidRDefault="000F2635" w:rsidP="00E6102E">
      <w:pPr>
        <w:widowControl w:val="0"/>
        <w:suppressAutoHyphens/>
        <w:ind w:left="851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lastRenderedPageBreak/>
        <w:t>72-600 Świnoujście,</w:t>
      </w:r>
    </w:p>
    <w:p w:rsidR="00E6102E" w:rsidRPr="00E6102E" w:rsidRDefault="000F2635" w:rsidP="000F2635">
      <w:pPr>
        <w:widowControl w:val="0"/>
        <w:numPr>
          <w:ilvl w:val="0"/>
          <w:numId w:val="6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 xml:space="preserve">Szkoła Podstawowa nr 2 im. mjr Henryka Sucharskiego, ul. Białoruska 2, </w:t>
      </w:r>
    </w:p>
    <w:p w:rsidR="000F2635" w:rsidRPr="00E6102E" w:rsidRDefault="000F2635" w:rsidP="00E6102E">
      <w:pPr>
        <w:widowControl w:val="0"/>
        <w:suppressAutoHyphens/>
        <w:ind w:left="851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72-602 Świnoujście,</w:t>
      </w:r>
    </w:p>
    <w:p w:rsidR="000F2635" w:rsidRPr="00E6102E" w:rsidRDefault="000F2635" w:rsidP="000F2635">
      <w:pPr>
        <w:widowControl w:val="0"/>
        <w:numPr>
          <w:ilvl w:val="0"/>
          <w:numId w:val="6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Szkoła Podstawowa nr 4 z Oddziałami Integracyjnymi im. kpt. ż. w. Mamerta Stankiewicza, ul. Szkolna nr 1, 72-600 Świnoujście,</w:t>
      </w:r>
    </w:p>
    <w:p w:rsidR="000F2635" w:rsidRPr="00E6102E" w:rsidRDefault="000F2635" w:rsidP="000F2635">
      <w:pPr>
        <w:widowControl w:val="0"/>
        <w:numPr>
          <w:ilvl w:val="0"/>
          <w:numId w:val="6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Szkoła Podstawowa nr 6 im. Mieszka I, ul. Staszica nr 17, 72-600 Świnoujście,</w:t>
      </w:r>
    </w:p>
    <w:p w:rsidR="000F2635" w:rsidRPr="00E6102E" w:rsidRDefault="000F2635" w:rsidP="000F2635">
      <w:pPr>
        <w:widowControl w:val="0"/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bCs/>
          <w:color w:val="000000" w:themeColor="text1"/>
        </w:rPr>
        <w:t>ł)</w:t>
      </w:r>
      <w:r w:rsidRPr="00E6102E">
        <w:rPr>
          <w:rFonts w:eastAsia="Arial Unicode MS"/>
          <w:bCs/>
          <w:color w:val="000000" w:themeColor="text1"/>
        </w:rPr>
        <w:tab/>
        <w:t xml:space="preserve">Zespół Szkolno-Przedszkolny w Świnoujściu, Szkoła Podstawowa nr 9 im. Jana Pawła II, Przedszkole Miejskie nr 7, </w:t>
      </w:r>
      <w:r w:rsidRPr="00E6102E">
        <w:rPr>
          <w:rFonts w:eastAsia="Arial Unicode MS"/>
          <w:color w:val="000000" w:themeColor="text1"/>
        </w:rPr>
        <w:t>ul. Sąsiedzka 13a, 72-605 Świnoujście,</w:t>
      </w:r>
    </w:p>
    <w:p w:rsidR="000F2635" w:rsidRPr="00E6102E" w:rsidRDefault="000F2635" w:rsidP="000F2635">
      <w:pPr>
        <w:widowControl w:val="0"/>
        <w:numPr>
          <w:ilvl w:val="0"/>
          <w:numId w:val="6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Liceum Ogólnokształcące z Oddziałami Integracyjnymi im. Mieszka I, ul. Niedziałkowskiego 2, 72-600 Świnoujście,</w:t>
      </w:r>
    </w:p>
    <w:p w:rsidR="00E6102E" w:rsidRPr="00E6102E" w:rsidRDefault="000F2635" w:rsidP="000F2635">
      <w:pPr>
        <w:widowControl w:val="0"/>
        <w:numPr>
          <w:ilvl w:val="0"/>
          <w:numId w:val="6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 xml:space="preserve">Centrum Edukacji Zawodowej i Turystyki w Świnoujściu, ul. Gdyńska 26, </w:t>
      </w:r>
    </w:p>
    <w:p w:rsidR="000F2635" w:rsidRPr="00E6102E" w:rsidRDefault="000F2635" w:rsidP="00E6102E">
      <w:pPr>
        <w:widowControl w:val="0"/>
        <w:suppressAutoHyphens/>
        <w:ind w:left="851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72-600 Świnoujście,</w:t>
      </w:r>
    </w:p>
    <w:p w:rsidR="000F2635" w:rsidRPr="00E6102E" w:rsidRDefault="000F2635" w:rsidP="000F2635">
      <w:pPr>
        <w:widowControl w:val="0"/>
        <w:numPr>
          <w:ilvl w:val="0"/>
          <w:numId w:val="6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Specjalny Ośrodek Szkolno-Wychowawczy im. Marii Konopnickiej, ul. Piastowska 55, 72-600 Świnoujście,</w:t>
      </w:r>
    </w:p>
    <w:p w:rsidR="000F2635" w:rsidRPr="00E6102E" w:rsidRDefault="000F2635" w:rsidP="000F2635">
      <w:pPr>
        <w:widowControl w:val="0"/>
        <w:numPr>
          <w:ilvl w:val="0"/>
          <w:numId w:val="6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Poradnia Psychologiczno-Pedagogiczna, ul. Piastowska 54, 72-600 Świnoujście,</w:t>
      </w:r>
    </w:p>
    <w:p w:rsidR="000F2635" w:rsidRPr="00E6102E" w:rsidRDefault="000F2635" w:rsidP="000F2635">
      <w:pPr>
        <w:widowControl w:val="0"/>
        <w:numPr>
          <w:ilvl w:val="0"/>
          <w:numId w:val="8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Przedszkola Miejskie, do których należą:</w:t>
      </w:r>
    </w:p>
    <w:p w:rsidR="00E6102E" w:rsidRPr="00E6102E" w:rsidRDefault="000F2635" w:rsidP="000F2635">
      <w:pPr>
        <w:widowControl w:val="0"/>
        <w:numPr>
          <w:ilvl w:val="0"/>
          <w:numId w:val="7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 xml:space="preserve">Przedszkole Miejskie nr 1 „Perełki Bałtyku” ul. Warszawska 13, </w:t>
      </w:r>
    </w:p>
    <w:p w:rsidR="000F2635" w:rsidRPr="00E6102E" w:rsidRDefault="000F2635" w:rsidP="00E6102E">
      <w:pPr>
        <w:widowControl w:val="0"/>
        <w:suppressAutoHyphens/>
        <w:ind w:left="851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72-600 Świnoujście,</w:t>
      </w:r>
    </w:p>
    <w:p w:rsidR="00E6102E" w:rsidRPr="00E6102E" w:rsidRDefault="000F2635" w:rsidP="000F2635">
      <w:pPr>
        <w:widowControl w:val="0"/>
        <w:numPr>
          <w:ilvl w:val="0"/>
          <w:numId w:val="7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 xml:space="preserve">Przedszkole Miejskie nr 3 „Pod Żaglami” ul. Batalionów Chłopskich 5, </w:t>
      </w:r>
    </w:p>
    <w:p w:rsidR="000F2635" w:rsidRPr="00E6102E" w:rsidRDefault="000F2635" w:rsidP="00E6102E">
      <w:pPr>
        <w:widowControl w:val="0"/>
        <w:suppressAutoHyphens/>
        <w:ind w:left="851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72-600 Świnoujście,</w:t>
      </w:r>
    </w:p>
    <w:p w:rsidR="00E6102E" w:rsidRPr="00E6102E" w:rsidRDefault="000F2635" w:rsidP="000F2635">
      <w:pPr>
        <w:widowControl w:val="0"/>
        <w:numPr>
          <w:ilvl w:val="0"/>
          <w:numId w:val="7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 xml:space="preserve">Przedszkole Miejski nr 5 „Bajka” z Oddziałami Integracyjnymi ul. Witosa 7, </w:t>
      </w:r>
    </w:p>
    <w:p w:rsidR="000F2635" w:rsidRPr="00E6102E" w:rsidRDefault="000F2635" w:rsidP="00E6102E">
      <w:pPr>
        <w:widowControl w:val="0"/>
        <w:suppressAutoHyphens/>
        <w:ind w:left="851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72-600 Świnoujście,</w:t>
      </w:r>
    </w:p>
    <w:p w:rsidR="000F2635" w:rsidRPr="00E6102E" w:rsidRDefault="000F2635" w:rsidP="000F2635">
      <w:pPr>
        <w:widowControl w:val="0"/>
        <w:numPr>
          <w:ilvl w:val="0"/>
          <w:numId w:val="7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Przedszkole Miejskie nr 9 ul. Sosnowa 16, 72-602 Świnoujście,</w:t>
      </w:r>
    </w:p>
    <w:p w:rsidR="00E6102E" w:rsidRPr="00E6102E" w:rsidRDefault="000F2635" w:rsidP="000F2635">
      <w:pPr>
        <w:widowControl w:val="0"/>
        <w:numPr>
          <w:ilvl w:val="0"/>
          <w:numId w:val="7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 xml:space="preserve">Przedszkole Miejskie nr 10 „Kolorowy Świat” ul. Monte Cassino 24-25, </w:t>
      </w:r>
    </w:p>
    <w:p w:rsidR="000F2635" w:rsidRPr="00E6102E" w:rsidRDefault="000F2635" w:rsidP="00E6102E">
      <w:pPr>
        <w:widowControl w:val="0"/>
        <w:suppressAutoHyphens/>
        <w:ind w:left="851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72-600 Świnoujście,</w:t>
      </w:r>
    </w:p>
    <w:p w:rsidR="000F2635" w:rsidRPr="00E6102E" w:rsidRDefault="000F2635" w:rsidP="000F2635">
      <w:pPr>
        <w:widowControl w:val="0"/>
        <w:numPr>
          <w:ilvl w:val="0"/>
          <w:numId w:val="7"/>
        </w:numPr>
        <w:suppressAutoHyphens/>
        <w:ind w:left="851" w:hanging="425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 xml:space="preserve">Przedszkole Miejskie nr 11 z Oddziałami Integracyjnymi „Tęcza” ul. </w:t>
      </w:r>
      <w:r w:rsidR="00FD4A5B" w:rsidRPr="00E6102E">
        <w:rPr>
          <w:rFonts w:eastAsia="Arial Unicode MS"/>
          <w:color w:val="000000" w:themeColor="text1"/>
        </w:rPr>
        <w:t>Bydgoska 15</w:t>
      </w:r>
      <w:r w:rsidRPr="00E6102E">
        <w:rPr>
          <w:rFonts w:eastAsia="Arial Unicode MS"/>
          <w:color w:val="000000" w:themeColor="text1"/>
        </w:rPr>
        <w:t>, 72-600 Świnoujście.</w:t>
      </w:r>
    </w:p>
    <w:p w:rsidR="000F2635" w:rsidRDefault="000F2635" w:rsidP="000F2635">
      <w:pPr>
        <w:widowControl w:val="0"/>
        <w:numPr>
          <w:ilvl w:val="0"/>
          <w:numId w:val="4"/>
        </w:numPr>
        <w:suppressAutoHyphens/>
        <w:ind w:left="567" w:hanging="283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zakłady budżetowe:</w:t>
      </w:r>
    </w:p>
    <w:p w:rsidR="00DC7150" w:rsidRPr="00E6102E" w:rsidRDefault="00DC7150" w:rsidP="004732EB">
      <w:pPr>
        <w:widowControl w:val="0"/>
        <w:suppressAutoHyphens/>
        <w:ind w:left="567"/>
        <w:jc w:val="both"/>
        <w:rPr>
          <w:rFonts w:eastAsia="Arial Unicode MS"/>
          <w:color w:val="000000" w:themeColor="text1"/>
        </w:rPr>
      </w:pPr>
      <w:bookmarkStart w:id="0" w:name="_GoBack"/>
      <w:bookmarkEnd w:id="0"/>
    </w:p>
    <w:p w:rsidR="000F2635" w:rsidRPr="00E6102E" w:rsidRDefault="000F2635" w:rsidP="000F2635">
      <w:pPr>
        <w:widowControl w:val="0"/>
        <w:numPr>
          <w:ilvl w:val="0"/>
          <w:numId w:val="5"/>
        </w:numPr>
        <w:suppressAutoHyphens/>
        <w:ind w:left="567" w:hanging="141"/>
        <w:jc w:val="both"/>
        <w:rPr>
          <w:rFonts w:eastAsia="Arial Unicode MS"/>
          <w:color w:val="000000" w:themeColor="text1"/>
        </w:rPr>
      </w:pPr>
      <w:r w:rsidRPr="00E6102E">
        <w:rPr>
          <w:rFonts w:eastAsia="Arial Unicode MS"/>
          <w:color w:val="000000" w:themeColor="text1"/>
        </w:rPr>
        <w:t>Ośrodek Sportu i Rekreacji „Wyspiarz” ul. Matejki 22, 72-600 Świnoujście.</w:t>
      </w:r>
    </w:p>
    <w:p w:rsidR="000F2635" w:rsidRPr="00645EDA" w:rsidRDefault="00057B6E" w:rsidP="00B26AA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645EDA">
        <w:rPr>
          <w:color w:val="000000" w:themeColor="text1"/>
        </w:rPr>
        <w:t>O</w:t>
      </w:r>
      <w:r w:rsidR="000F2635" w:rsidRPr="00645EDA">
        <w:rPr>
          <w:color w:val="000000" w:themeColor="text1"/>
        </w:rPr>
        <w:t>mówienie</w:t>
      </w:r>
      <w:r w:rsidR="000F2635" w:rsidRPr="00645EDA">
        <w:rPr>
          <w:color w:val="000000" w:themeColor="text1"/>
          <w:spacing w:val="47"/>
        </w:rPr>
        <w:t xml:space="preserve"> </w:t>
      </w:r>
      <w:r w:rsidR="000F2635" w:rsidRPr="00645EDA">
        <w:rPr>
          <w:color w:val="000000" w:themeColor="text1"/>
        </w:rPr>
        <w:t>przyjętych</w:t>
      </w:r>
      <w:r w:rsidR="000F2635" w:rsidRPr="00645EDA">
        <w:rPr>
          <w:color w:val="000000" w:themeColor="text1"/>
          <w:spacing w:val="47"/>
        </w:rPr>
        <w:t xml:space="preserve"> </w:t>
      </w:r>
      <w:r w:rsidR="000F2635" w:rsidRPr="00645EDA">
        <w:rPr>
          <w:color w:val="000000" w:themeColor="text1"/>
        </w:rPr>
        <w:t>zasad</w:t>
      </w:r>
      <w:r w:rsidR="000F2635" w:rsidRPr="00645EDA">
        <w:rPr>
          <w:color w:val="000000" w:themeColor="text1"/>
          <w:spacing w:val="47"/>
        </w:rPr>
        <w:t xml:space="preserve"> </w:t>
      </w:r>
      <w:r w:rsidR="000F2635" w:rsidRPr="00645EDA">
        <w:rPr>
          <w:color w:val="000000" w:themeColor="text1"/>
        </w:rPr>
        <w:t>rachunkowości,</w:t>
      </w:r>
      <w:r w:rsidR="000F2635" w:rsidRPr="00645EDA">
        <w:rPr>
          <w:color w:val="000000" w:themeColor="text1"/>
          <w:spacing w:val="47"/>
        </w:rPr>
        <w:t xml:space="preserve"> </w:t>
      </w:r>
      <w:r w:rsidR="000F2635" w:rsidRPr="00645EDA">
        <w:rPr>
          <w:color w:val="000000" w:themeColor="text1"/>
        </w:rPr>
        <w:t>w</w:t>
      </w:r>
      <w:r w:rsidR="000F2635" w:rsidRPr="00645EDA">
        <w:rPr>
          <w:color w:val="000000" w:themeColor="text1"/>
          <w:spacing w:val="47"/>
        </w:rPr>
        <w:t xml:space="preserve"> </w:t>
      </w:r>
      <w:r w:rsidR="000F2635" w:rsidRPr="00645EDA">
        <w:rPr>
          <w:color w:val="000000" w:themeColor="text1"/>
        </w:rPr>
        <w:t>tym</w:t>
      </w:r>
      <w:r w:rsidR="000F2635" w:rsidRPr="00645EDA">
        <w:rPr>
          <w:color w:val="000000" w:themeColor="text1"/>
          <w:spacing w:val="47"/>
        </w:rPr>
        <w:t xml:space="preserve"> </w:t>
      </w:r>
      <w:r w:rsidR="000F2635" w:rsidRPr="00645EDA">
        <w:rPr>
          <w:color w:val="000000" w:themeColor="text1"/>
        </w:rPr>
        <w:t>metod</w:t>
      </w:r>
      <w:r w:rsidR="000F2635" w:rsidRPr="00645EDA">
        <w:rPr>
          <w:color w:val="000000" w:themeColor="text1"/>
          <w:spacing w:val="47"/>
        </w:rPr>
        <w:t xml:space="preserve"> </w:t>
      </w:r>
      <w:r w:rsidR="000F2635" w:rsidRPr="00645EDA">
        <w:rPr>
          <w:color w:val="000000" w:themeColor="text1"/>
        </w:rPr>
        <w:t>wyceny</w:t>
      </w:r>
      <w:r w:rsidR="000F2635" w:rsidRPr="00645EDA">
        <w:rPr>
          <w:color w:val="000000" w:themeColor="text1"/>
          <w:spacing w:val="47"/>
        </w:rPr>
        <w:t xml:space="preserve"> </w:t>
      </w:r>
      <w:r w:rsidR="000F2635" w:rsidRPr="00645EDA">
        <w:rPr>
          <w:color w:val="000000" w:themeColor="text1"/>
        </w:rPr>
        <w:t>aktywów</w:t>
      </w:r>
      <w:r w:rsidR="000F2635" w:rsidRPr="00645EDA">
        <w:rPr>
          <w:color w:val="000000" w:themeColor="text1"/>
          <w:spacing w:val="47"/>
        </w:rPr>
        <w:t xml:space="preserve"> </w:t>
      </w:r>
      <w:r w:rsidR="000F2635" w:rsidRPr="00645EDA">
        <w:rPr>
          <w:color w:val="000000" w:themeColor="text1"/>
        </w:rPr>
        <w:t>i</w:t>
      </w:r>
      <w:r w:rsidRPr="00645EDA">
        <w:rPr>
          <w:color w:val="000000" w:themeColor="text1"/>
          <w:spacing w:val="47"/>
        </w:rPr>
        <w:t> </w:t>
      </w:r>
      <w:r w:rsidR="000F2635" w:rsidRPr="00645EDA">
        <w:rPr>
          <w:color w:val="000000" w:themeColor="text1"/>
        </w:rPr>
        <w:t>pasywów</w:t>
      </w:r>
      <w:r w:rsidR="000F2635" w:rsidRPr="00645EDA">
        <w:rPr>
          <w:color w:val="000000" w:themeColor="text1"/>
          <w:spacing w:val="47"/>
        </w:rPr>
        <w:t xml:space="preserve"> </w:t>
      </w:r>
      <w:r w:rsidR="000F2635" w:rsidRPr="00645EDA">
        <w:rPr>
          <w:color w:val="000000" w:themeColor="text1"/>
        </w:rPr>
        <w:t>(</w:t>
      </w:r>
      <w:r w:rsidRPr="00645EDA">
        <w:rPr>
          <w:color w:val="000000" w:themeColor="text1"/>
        </w:rPr>
        <w:t>w tym</w:t>
      </w:r>
      <w:r w:rsidR="000F2635" w:rsidRPr="00645EDA">
        <w:rPr>
          <w:color w:val="000000" w:themeColor="text1"/>
        </w:rPr>
        <w:t xml:space="preserve"> amortyzacji)</w:t>
      </w:r>
      <w:r w:rsidRPr="00645EDA">
        <w:rPr>
          <w:color w:val="000000" w:themeColor="text1"/>
        </w:rPr>
        <w:t>:</w:t>
      </w:r>
    </w:p>
    <w:p w:rsidR="00B26AA5" w:rsidRPr="00645EDA" w:rsidRDefault="00B26AA5" w:rsidP="00B26AA5">
      <w:pPr>
        <w:pStyle w:val="Akapitzlist"/>
        <w:tabs>
          <w:tab w:val="right" w:pos="9356"/>
        </w:tabs>
        <w:autoSpaceDE w:val="0"/>
        <w:autoSpaceDN w:val="0"/>
        <w:adjustRightInd w:val="0"/>
        <w:ind w:left="438"/>
        <w:jc w:val="both"/>
        <w:rPr>
          <w:color w:val="000000" w:themeColor="text1"/>
        </w:rPr>
      </w:pPr>
      <w:r w:rsidRPr="00645EDA">
        <w:rPr>
          <w:color w:val="000000" w:themeColor="text1"/>
        </w:rPr>
        <w:t xml:space="preserve">Sprawozdanie finansowe sporządzone zostało zgodnie z obowiązującymi przepisami prawa na podstawie ksiąg rachunkowych, które zawierają kompletnie ujęte wszystkie operacje gospodarcze dotyczące okresu sprawozdawczego, udokumentowane dowodami własnymi i obcymi. W sprawozdaniu ujawnione zostały wszystkie zdarzenia, które nastąpiły po dacie bilansu i mogłyby mieć wpływ na </w:t>
      </w:r>
      <w:r w:rsidR="000C32E7" w:rsidRPr="00645EDA">
        <w:rPr>
          <w:color w:val="000000" w:themeColor="text1"/>
        </w:rPr>
        <w:t>trafność sformułowania opinii o </w:t>
      </w:r>
      <w:r w:rsidRPr="00645EDA">
        <w:rPr>
          <w:color w:val="000000" w:themeColor="text1"/>
        </w:rPr>
        <w:t>prawidłowości i rzetelności naszego sprawozdania o</w:t>
      </w:r>
      <w:r w:rsidR="000C32E7" w:rsidRPr="00645EDA">
        <w:rPr>
          <w:color w:val="000000" w:themeColor="text1"/>
        </w:rPr>
        <w:t>raz ocenę sytuacji majątkowej i </w:t>
      </w:r>
      <w:r w:rsidRPr="00645EDA">
        <w:rPr>
          <w:color w:val="000000" w:themeColor="text1"/>
        </w:rPr>
        <w:t>finansowej jednostki.</w:t>
      </w:r>
    </w:p>
    <w:p w:rsidR="000074EE" w:rsidRPr="00645EDA" w:rsidRDefault="000074EE" w:rsidP="003A0F44">
      <w:pPr>
        <w:widowControl w:val="0"/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645EDA">
        <w:rPr>
          <w:color w:val="000000" w:themeColor="text1"/>
        </w:rPr>
        <w:t>Aktywa i pasywa wyceniane są przy uwzględnieniu nadrzędnych zasad rachunkowości, w sposób przewidziany ustawą o rachunkowości</w:t>
      </w:r>
      <w:r w:rsidR="003A0F44" w:rsidRPr="00645EDA">
        <w:rPr>
          <w:color w:val="000000" w:themeColor="text1"/>
        </w:rPr>
        <w:t>.</w:t>
      </w:r>
    </w:p>
    <w:p w:rsidR="000074EE" w:rsidRPr="00645EDA" w:rsidRDefault="000074EE" w:rsidP="003A0F44">
      <w:pPr>
        <w:widowControl w:val="0"/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645EDA">
        <w:rPr>
          <w:color w:val="000000" w:themeColor="text1"/>
        </w:rPr>
        <w:t>Zasady stosowane w prowadzeniu ksiąg rachunkowych:</w:t>
      </w:r>
    </w:p>
    <w:p w:rsidR="000074EE" w:rsidRPr="00645EDA" w:rsidRDefault="000074EE" w:rsidP="003A0F44">
      <w:pPr>
        <w:pStyle w:val="Akapitzlist"/>
        <w:widowControl w:val="0"/>
        <w:numPr>
          <w:ilvl w:val="0"/>
          <w:numId w:val="1"/>
        </w:numPr>
        <w:tabs>
          <w:tab w:val="left" w:pos="361"/>
        </w:tabs>
        <w:autoSpaceDE w:val="0"/>
        <w:autoSpaceDN w:val="0"/>
        <w:adjustRightInd w:val="0"/>
        <w:ind w:hanging="12"/>
        <w:jc w:val="both"/>
        <w:rPr>
          <w:color w:val="000000" w:themeColor="text1"/>
        </w:rPr>
      </w:pPr>
      <w:r w:rsidRPr="00645EDA">
        <w:rPr>
          <w:color w:val="000000" w:themeColor="text1"/>
        </w:rPr>
        <w:t xml:space="preserve">Środki trwałe oraz wartości niematerialne i prawne amortyzuje się metodą </w:t>
      </w:r>
      <w:r w:rsidR="003A0F44" w:rsidRPr="00645EDA">
        <w:rPr>
          <w:color w:val="000000" w:themeColor="text1"/>
        </w:rPr>
        <w:t>liniową.</w:t>
      </w:r>
    </w:p>
    <w:p w:rsidR="000074EE" w:rsidRPr="00645EDA" w:rsidRDefault="009C2559" w:rsidP="009C2559">
      <w:pPr>
        <w:widowControl w:val="0"/>
        <w:tabs>
          <w:tab w:val="left" w:pos="361"/>
        </w:tabs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645EDA">
        <w:rPr>
          <w:color w:val="000000" w:themeColor="text1"/>
        </w:rPr>
        <w:t>2)</w:t>
      </w:r>
      <w:r w:rsidRPr="00645EDA">
        <w:rPr>
          <w:color w:val="000000" w:themeColor="text1"/>
        </w:rPr>
        <w:tab/>
      </w:r>
      <w:r w:rsidR="000074EE" w:rsidRPr="00645EDA">
        <w:rPr>
          <w:color w:val="000000" w:themeColor="text1"/>
        </w:rPr>
        <w:t>Odpisów</w:t>
      </w:r>
      <w:r w:rsidR="00645EDA" w:rsidRPr="00645EDA">
        <w:rPr>
          <w:color w:val="000000" w:themeColor="text1"/>
        </w:rPr>
        <w:t xml:space="preserve"> </w:t>
      </w:r>
      <w:r w:rsidR="000074EE" w:rsidRPr="00645EDA">
        <w:rPr>
          <w:color w:val="000000" w:themeColor="text1"/>
        </w:rPr>
        <w:t>umorzeniowych dokonuje się począws</w:t>
      </w:r>
      <w:r w:rsidR="00943E37" w:rsidRPr="00645EDA">
        <w:rPr>
          <w:color w:val="000000" w:themeColor="text1"/>
        </w:rPr>
        <w:t>zy od miesiąca następującego po </w:t>
      </w:r>
      <w:r w:rsidR="000074EE" w:rsidRPr="00645EDA">
        <w:rPr>
          <w:color w:val="000000" w:themeColor="text1"/>
        </w:rPr>
        <w:t>miesiącu przyjęcia środka trwałego lub wartości niema</w:t>
      </w:r>
      <w:r w:rsidR="00943E37" w:rsidRPr="00645EDA">
        <w:rPr>
          <w:color w:val="000000" w:themeColor="text1"/>
        </w:rPr>
        <w:t xml:space="preserve">terialnej i prawnej do używania, </w:t>
      </w:r>
      <w:r w:rsidR="000074EE" w:rsidRPr="00645EDA">
        <w:rPr>
          <w:color w:val="000000" w:themeColor="text1"/>
        </w:rPr>
        <w:t>w miesiącu przyjęcia ś</w:t>
      </w:r>
      <w:r w:rsidR="00943E37" w:rsidRPr="00645EDA">
        <w:rPr>
          <w:color w:val="000000" w:themeColor="text1"/>
        </w:rPr>
        <w:t>rodka trwałego do użytkowania lub rocznie.</w:t>
      </w:r>
    </w:p>
    <w:p w:rsidR="000074EE" w:rsidRPr="00645EDA" w:rsidRDefault="000074EE" w:rsidP="00E03D5C">
      <w:pPr>
        <w:pStyle w:val="Akapitzlist"/>
        <w:widowControl w:val="0"/>
        <w:numPr>
          <w:ilvl w:val="0"/>
          <w:numId w:val="10"/>
        </w:numPr>
        <w:tabs>
          <w:tab w:val="left" w:pos="361"/>
        </w:tabs>
        <w:autoSpaceDE w:val="0"/>
        <w:autoSpaceDN w:val="0"/>
        <w:adjustRightInd w:val="0"/>
        <w:ind w:hanging="12"/>
        <w:jc w:val="both"/>
        <w:rPr>
          <w:color w:val="000000" w:themeColor="text1"/>
        </w:rPr>
      </w:pPr>
      <w:r w:rsidRPr="00645EDA">
        <w:rPr>
          <w:color w:val="000000" w:themeColor="text1"/>
        </w:rPr>
        <w:t>Zakończenie odpisów umorzeniowych następuje nie później niż z chwilą zrównania odpisów umorzeniowych z wartością początkową środka trwałego lub przeznaczenia go do likwidacji, sprzedaży lub stwierdzenia jego niedoboru.</w:t>
      </w:r>
    </w:p>
    <w:p w:rsidR="000074EE" w:rsidRPr="00645EDA" w:rsidRDefault="000074EE" w:rsidP="00E03D5C">
      <w:pPr>
        <w:widowControl w:val="0"/>
        <w:numPr>
          <w:ilvl w:val="0"/>
          <w:numId w:val="10"/>
        </w:numPr>
        <w:tabs>
          <w:tab w:val="left" w:pos="361"/>
        </w:tabs>
        <w:autoSpaceDE w:val="0"/>
        <w:autoSpaceDN w:val="0"/>
        <w:adjustRightInd w:val="0"/>
        <w:ind w:left="426" w:firstLine="0"/>
        <w:jc w:val="both"/>
        <w:rPr>
          <w:color w:val="000000" w:themeColor="text1"/>
        </w:rPr>
      </w:pPr>
      <w:r w:rsidRPr="00645EDA">
        <w:rPr>
          <w:color w:val="000000" w:themeColor="text1"/>
        </w:rPr>
        <w:t xml:space="preserve">Odpisy umorzeniowe środków trwałych oraz wartości niematerialnych i prawnych </w:t>
      </w:r>
      <w:r w:rsidRPr="00645EDA">
        <w:rPr>
          <w:color w:val="000000" w:themeColor="text1"/>
        </w:rPr>
        <w:lastRenderedPageBreak/>
        <w:t xml:space="preserve">ujmuje się w księgach rachunkowych </w:t>
      </w:r>
      <w:r w:rsidR="009C2559" w:rsidRPr="00645EDA">
        <w:rPr>
          <w:color w:val="000000" w:themeColor="text1"/>
        </w:rPr>
        <w:t xml:space="preserve">miesięcznie </w:t>
      </w:r>
      <w:r w:rsidR="00687B37" w:rsidRPr="00645EDA">
        <w:rPr>
          <w:color w:val="000000" w:themeColor="text1"/>
        </w:rPr>
        <w:t>lub</w:t>
      </w:r>
      <w:r w:rsidR="009C2559" w:rsidRPr="00645EDA">
        <w:rPr>
          <w:color w:val="000000" w:themeColor="text1"/>
        </w:rPr>
        <w:t xml:space="preserve"> </w:t>
      </w:r>
      <w:r w:rsidRPr="00645EDA">
        <w:rPr>
          <w:color w:val="000000" w:themeColor="text1"/>
        </w:rPr>
        <w:t>rocznie</w:t>
      </w:r>
      <w:r w:rsidRPr="00645EDA">
        <w:rPr>
          <w:b/>
          <w:color w:val="000000" w:themeColor="text1"/>
        </w:rPr>
        <w:t xml:space="preserve"> </w:t>
      </w:r>
      <w:r w:rsidRPr="00645EDA">
        <w:rPr>
          <w:color w:val="000000" w:themeColor="text1"/>
        </w:rPr>
        <w:t>według stanu na koniec danego okresu.</w:t>
      </w:r>
    </w:p>
    <w:p w:rsidR="000074EE" w:rsidRPr="00C15E36" w:rsidRDefault="000074EE" w:rsidP="00E03D5C">
      <w:pPr>
        <w:widowControl w:val="0"/>
        <w:numPr>
          <w:ilvl w:val="0"/>
          <w:numId w:val="10"/>
        </w:numPr>
        <w:tabs>
          <w:tab w:val="left" w:pos="361"/>
        </w:tabs>
        <w:autoSpaceDE w:val="0"/>
        <w:autoSpaceDN w:val="0"/>
        <w:adjustRightInd w:val="0"/>
        <w:ind w:left="426" w:firstLine="0"/>
        <w:jc w:val="both"/>
        <w:rPr>
          <w:color w:val="000000" w:themeColor="text1"/>
        </w:rPr>
      </w:pPr>
      <w:r w:rsidRPr="00C15E36">
        <w:rPr>
          <w:color w:val="000000" w:themeColor="text1"/>
        </w:rPr>
        <w:t>Jednorazowo, przez spisanie w koszty w miesiącu przyjęcia do używania, umarza się pozostałe środki trwałe (wyposażenie) oraz wartości niematerialne</w:t>
      </w:r>
      <w:r w:rsidR="00B54797" w:rsidRPr="00C15E36">
        <w:rPr>
          <w:color w:val="000000" w:themeColor="text1"/>
        </w:rPr>
        <w:t xml:space="preserve"> i prawne o wartości mieszczące się w przedziałach: </w:t>
      </w:r>
      <w:r w:rsidRPr="00C15E36">
        <w:rPr>
          <w:color w:val="000000" w:themeColor="text1"/>
        </w:rPr>
        <w:t>od</w:t>
      </w:r>
      <w:r w:rsidR="003A0F44" w:rsidRPr="00C15E36">
        <w:rPr>
          <w:color w:val="000000" w:themeColor="text1"/>
        </w:rPr>
        <w:t xml:space="preserve"> 0</w:t>
      </w:r>
      <w:r w:rsidR="00952DB0" w:rsidRPr="00C15E36">
        <w:rPr>
          <w:color w:val="000000" w:themeColor="text1"/>
        </w:rPr>
        <w:t xml:space="preserve"> do 10.000 zł, </w:t>
      </w:r>
      <w:r w:rsidR="0083499D" w:rsidRPr="00C15E36">
        <w:rPr>
          <w:color w:val="000000" w:themeColor="text1"/>
        </w:rPr>
        <w:t xml:space="preserve">od 1 zł do 10.000 zł, </w:t>
      </w:r>
      <w:r w:rsidR="00631AD4" w:rsidRPr="00C15E36">
        <w:rPr>
          <w:color w:val="000000" w:themeColor="text1"/>
        </w:rPr>
        <w:t xml:space="preserve">od 50 zł do 10.000 zł, </w:t>
      </w:r>
      <w:r w:rsidR="00952DB0" w:rsidRPr="00C15E36">
        <w:rPr>
          <w:color w:val="000000" w:themeColor="text1"/>
        </w:rPr>
        <w:t xml:space="preserve">od 100 zł do 10.000 zł, </w:t>
      </w:r>
      <w:r w:rsidR="0083499D" w:rsidRPr="00C15E36">
        <w:rPr>
          <w:color w:val="000000" w:themeColor="text1"/>
        </w:rPr>
        <w:t xml:space="preserve">od </w:t>
      </w:r>
      <w:r w:rsidR="00681459" w:rsidRPr="00C15E36">
        <w:rPr>
          <w:color w:val="000000" w:themeColor="text1"/>
        </w:rPr>
        <w:t>200</w:t>
      </w:r>
      <w:r w:rsidRPr="00C15E36">
        <w:rPr>
          <w:color w:val="000000" w:themeColor="text1"/>
        </w:rPr>
        <w:t xml:space="preserve"> zł do </w:t>
      </w:r>
      <w:r w:rsidR="003A0F44" w:rsidRPr="00C15E36">
        <w:rPr>
          <w:color w:val="000000" w:themeColor="text1"/>
        </w:rPr>
        <w:t xml:space="preserve">10.000 </w:t>
      </w:r>
      <w:r w:rsidRPr="00C15E36">
        <w:rPr>
          <w:color w:val="000000" w:themeColor="text1"/>
        </w:rPr>
        <w:t xml:space="preserve">zł, </w:t>
      </w:r>
      <w:r w:rsidR="0094583C" w:rsidRPr="00C15E36">
        <w:rPr>
          <w:color w:val="000000" w:themeColor="text1"/>
        </w:rPr>
        <w:t xml:space="preserve">od 249,99 zł do 9.999,99 zł, </w:t>
      </w:r>
      <w:r w:rsidR="0032039D" w:rsidRPr="00C15E36">
        <w:rPr>
          <w:color w:val="000000" w:themeColor="text1"/>
        </w:rPr>
        <w:t>od 250 zł do 9.999,99 zł</w:t>
      </w:r>
      <w:r w:rsidR="006A6196" w:rsidRPr="00C15E36">
        <w:rPr>
          <w:color w:val="000000" w:themeColor="text1"/>
        </w:rPr>
        <w:t>, od 300 zł do 10.000 zł</w:t>
      </w:r>
      <w:r w:rsidR="0032039D" w:rsidRPr="00C15E36">
        <w:rPr>
          <w:color w:val="000000" w:themeColor="text1"/>
        </w:rPr>
        <w:t xml:space="preserve">, </w:t>
      </w:r>
      <w:r w:rsidRPr="00C15E36">
        <w:rPr>
          <w:color w:val="000000" w:themeColor="text1"/>
        </w:rPr>
        <w:t>dla których odpisy amortyzacyjne są uznawane za koszty uzyskania przychodu w 100 % ich wartości w momencie oddania do używania.</w:t>
      </w:r>
    </w:p>
    <w:p w:rsidR="000074EE" w:rsidRPr="00C15E36" w:rsidRDefault="000074EE" w:rsidP="00E03D5C">
      <w:pPr>
        <w:widowControl w:val="0"/>
        <w:numPr>
          <w:ilvl w:val="0"/>
          <w:numId w:val="10"/>
        </w:numPr>
        <w:tabs>
          <w:tab w:val="left" w:pos="361"/>
        </w:tabs>
        <w:autoSpaceDE w:val="0"/>
        <w:autoSpaceDN w:val="0"/>
        <w:adjustRightInd w:val="0"/>
        <w:ind w:left="426" w:firstLine="0"/>
        <w:jc w:val="both"/>
        <w:rPr>
          <w:color w:val="000000" w:themeColor="text1"/>
        </w:rPr>
      </w:pPr>
      <w:r w:rsidRPr="00C15E36">
        <w:rPr>
          <w:color w:val="000000" w:themeColor="text1"/>
        </w:rPr>
        <w:t xml:space="preserve">Składniki majątku o wartości poniżej 10.000 zł </w:t>
      </w:r>
      <w:r w:rsidR="00961D82" w:rsidRPr="00C15E36">
        <w:rPr>
          <w:color w:val="000000" w:themeColor="text1"/>
        </w:rPr>
        <w:t xml:space="preserve">w poszczególnych jednostkach </w:t>
      </w:r>
      <w:r w:rsidRPr="00C15E36">
        <w:rPr>
          <w:color w:val="000000" w:themeColor="text1"/>
        </w:rPr>
        <w:t>podlegają ewidencji:</w:t>
      </w:r>
    </w:p>
    <w:p w:rsidR="000074EE" w:rsidRPr="00C15E36" w:rsidRDefault="000074EE" w:rsidP="003A0F44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adjustRightInd w:val="0"/>
        <w:ind w:left="426" w:firstLine="0"/>
        <w:jc w:val="both"/>
        <w:rPr>
          <w:color w:val="000000" w:themeColor="text1"/>
        </w:rPr>
      </w:pPr>
      <w:r w:rsidRPr="00C15E36">
        <w:rPr>
          <w:color w:val="000000" w:themeColor="text1"/>
        </w:rPr>
        <w:t>ilośc</w:t>
      </w:r>
      <w:r w:rsidR="00B54797" w:rsidRPr="00C15E36">
        <w:rPr>
          <w:color w:val="000000" w:themeColor="text1"/>
        </w:rPr>
        <w:t>iowo – wartościowej w przedziałach:</w:t>
      </w:r>
      <w:r w:rsidRPr="00C15E36">
        <w:rPr>
          <w:color w:val="000000" w:themeColor="text1"/>
        </w:rPr>
        <w:t xml:space="preserve"> </w:t>
      </w:r>
      <w:r w:rsidR="0083499D" w:rsidRPr="00C15E36">
        <w:rPr>
          <w:color w:val="000000" w:themeColor="text1"/>
        </w:rPr>
        <w:t xml:space="preserve">od 1 zł do 10.000 zł, </w:t>
      </w:r>
      <w:r w:rsidR="000F2457" w:rsidRPr="00C15E36">
        <w:rPr>
          <w:color w:val="000000" w:themeColor="text1"/>
        </w:rPr>
        <w:t xml:space="preserve">od 100 zł do 10.000 zł, </w:t>
      </w:r>
      <w:r w:rsidR="0083499D" w:rsidRPr="00C15E36">
        <w:rPr>
          <w:color w:val="000000" w:themeColor="text1"/>
        </w:rPr>
        <w:t xml:space="preserve">od 200 zł do 10.000 zł, </w:t>
      </w:r>
      <w:r w:rsidRPr="00C15E36">
        <w:rPr>
          <w:color w:val="000000" w:themeColor="text1"/>
        </w:rPr>
        <w:t>od</w:t>
      </w:r>
      <w:r w:rsidR="003A0F44" w:rsidRPr="00C15E36">
        <w:rPr>
          <w:color w:val="000000" w:themeColor="text1"/>
        </w:rPr>
        <w:t xml:space="preserve"> </w:t>
      </w:r>
      <w:r w:rsidR="00952DB0" w:rsidRPr="00C15E36">
        <w:rPr>
          <w:color w:val="000000" w:themeColor="text1"/>
        </w:rPr>
        <w:t xml:space="preserve">300 zł do 10.000 zł, </w:t>
      </w:r>
      <w:r w:rsidR="00C55B84" w:rsidRPr="00C15E36">
        <w:rPr>
          <w:color w:val="000000" w:themeColor="text1"/>
        </w:rPr>
        <w:t>od 500 zł do 10.000 zł,</w:t>
      </w:r>
      <w:r w:rsidR="00C829E3" w:rsidRPr="00C15E36">
        <w:rPr>
          <w:color w:val="000000" w:themeColor="text1"/>
        </w:rPr>
        <w:t xml:space="preserve"> </w:t>
      </w:r>
      <w:r w:rsidR="0094583C" w:rsidRPr="00C15E36">
        <w:rPr>
          <w:color w:val="000000" w:themeColor="text1"/>
        </w:rPr>
        <w:t xml:space="preserve">od 249,99 zł do 9.999,99 zł, </w:t>
      </w:r>
      <w:r w:rsidR="00C829E3" w:rsidRPr="00C15E36">
        <w:rPr>
          <w:color w:val="000000" w:themeColor="text1"/>
        </w:rPr>
        <w:t xml:space="preserve">od 250 zł do 9.999,99 zł, </w:t>
      </w:r>
    </w:p>
    <w:p w:rsidR="000074EE" w:rsidRPr="00C15E36" w:rsidRDefault="00B54797" w:rsidP="003A0F44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adjustRightInd w:val="0"/>
        <w:ind w:left="426" w:firstLine="0"/>
        <w:jc w:val="both"/>
        <w:rPr>
          <w:color w:val="000000" w:themeColor="text1"/>
        </w:rPr>
      </w:pPr>
      <w:r w:rsidRPr="00C15E36">
        <w:rPr>
          <w:color w:val="000000" w:themeColor="text1"/>
        </w:rPr>
        <w:t>ilościowej w przedziałach:</w:t>
      </w:r>
      <w:r w:rsidR="000074EE" w:rsidRPr="00C15E36">
        <w:rPr>
          <w:color w:val="000000" w:themeColor="text1"/>
        </w:rPr>
        <w:t xml:space="preserve"> </w:t>
      </w:r>
      <w:r w:rsidR="00B2417A" w:rsidRPr="00C15E36">
        <w:rPr>
          <w:color w:val="000000" w:themeColor="text1"/>
        </w:rPr>
        <w:t xml:space="preserve">od 0 zł do 249,99 zł, </w:t>
      </w:r>
      <w:r w:rsidR="00C829E3" w:rsidRPr="00C15E36">
        <w:rPr>
          <w:color w:val="000000" w:themeColor="text1"/>
        </w:rPr>
        <w:t xml:space="preserve">od 0 zł do 250 zł, </w:t>
      </w:r>
      <w:r w:rsidR="000F2457" w:rsidRPr="00C15E36">
        <w:rPr>
          <w:color w:val="000000" w:themeColor="text1"/>
        </w:rPr>
        <w:t xml:space="preserve">od 1 zł do 99,99 zł, </w:t>
      </w:r>
      <w:r w:rsidR="0083499D" w:rsidRPr="00C15E36">
        <w:rPr>
          <w:color w:val="000000" w:themeColor="text1"/>
        </w:rPr>
        <w:t xml:space="preserve">od 1 zł do 200 zł, od </w:t>
      </w:r>
      <w:r w:rsidR="00B10617" w:rsidRPr="00C15E36">
        <w:rPr>
          <w:color w:val="000000" w:themeColor="text1"/>
        </w:rPr>
        <w:t>1</w:t>
      </w:r>
      <w:r w:rsidR="000074EE" w:rsidRPr="00C15E36">
        <w:rPr>
          <w:color w:val="000000" w:themeColor="text1"/>
        </w:rPr>
        <w:t xml:space="preserve"> zł do </w:t>
      </w:r>
      <w:r w:rsidR="003A0F44" w:rsidRPr="00C15E36">
        <w:rPr>
          <w:color w:val="000000" w:themeColor="text1"/>
        </w:rPr>
        <w:t xml:space="preserve">300 </w:t>
      </w:r>
      <w:r w:rsidR="00C55B84" w:rsidRPr="00C15E36">
        <w:rPr>
          <w:color w:val="000000" w:themeColor="text1"/>
        </w:rPr>
        <w:t xml:space="preserve">zł, </w:t>
      </w:r>
      <w:r w:rsidR="005C1DF2" w:rsidRPr="00C15E36">
        <w:rPr>
          <w:color w:val="000000" w:themeColor="text1"/>
        </w:rPr>
        <w:t xml:space="preserve">od 50 zł do 300 zł, </w:t>
      </w:r>
      <w:r w:rsidR="00ED6037" w:rsidRPr="00C15E36">
        <w:rPr>
          <w:color w:val="000000" w:themeColor="text1"/>
        </w:rPr>
        <w:t xml:space="preserve">od 100 zł do 300 zł, </w:t>
      </w:r>
      <w:r w:rsidR="00C55B84" w:rsidRPr="00C15E36">
        <w:rPr>
          <w:color w:val="000000" w:themeColor="text1"/>
        </w:rPr>
        <w:t>od 100 zł do 500 zł.</w:t>
      </w:r>
    </w:p>
    <w:p w:rsidR="00A20124" w:rsidRPr="00C15E36" w:rsidRDefault="000074EE" w:rsidP="00E03D5C">
      <w:pPr>
        <w:pStyle w:val="Akapitzlist"/>
        <w:numPr>
          <w:ilvl w:val="0"/>
          <w:numId w:val="10"/>
        </w:numPr>
        <w:ind w:hanging="12"/>
        <w:jc w:val="both"/>
        <w:rPr>
          <w:color w:val="000000" w:themeColor="text1"/>
        </w:rPr>
      </w:pPr>
      <w:r w:rsidRPr="00C15E36">
        <w:rPr>
          <w:color w:val="000000" w:themeColor="text1"/>
        </w:rPr>
        <w:t xml:space="preserve">Gospodarka materiałowa </w:t>
      </w:r>
      <w:r w:rsidR="00E03D5C" w:rsidRPr="00C15E36">
        <w:rPr>
          <w:color w:val="000000" w:themeColor="text1"/>
        </w:rPr>
        <w:t xml:space="preserve">w części jednostek nie </w:t>
      </w:r>
      <w:r w:rsidRPr="00C15E36">
        <w:rPr>
          <w:color w:val="000000" w:themeColor="text1"/>
        </w:rPr>
        <w:t>podlega ewidencji ilościowo-wartościowej</w:t>
      </w:r>
      <w:r w:rsidR="00E03D5C" w:rsidRPr="00C15E36">
        <w:rPr>
          <w:color w:val="000000" w:themeColor="text1"/>
        </w:rPr>
        <w:t>. W jednostkach, w których podlega</w:t>
      </w:r>
      <w:r w:rsidRPr="00C15E36">
        <w:rPr>
          <w:color w:val="000000" w:themeColor="text1"/>
        </w:rPr>
        <w:t xml:space="preserve"> rozchód materiałów wycenia się przy zastosowaniu metody </w:t>
      </w:r>
      <w:r w:rsidR="00A2008C" w:rsidRPr="00C15E36">
        <w:rPr>
          <w:color w:val="000000" w:themeColor="text1"/>
        </w:rPr>
        <w:t xml:space="preserve">FIFO </w:t>
      </w:r>
      <w:r w:rsidR="003A0F44" w:rsidRPr="00C15E36">
        <w:rPr>
          <w:color w:val="000000" w:themeColor="text1"/>
        </w:rPr>
        <w:t>„</w:t>
      </w:r>
      <w:r w:rsidR="00277059" w:rsidRPr="00C15E36">
        <w:rPr>
          <w:color w:val="000000" w:themeColor="text1"/>
        </w:rPr>
        <w:t xml:space="preserve">pierwsze </w:t>
      </w:r>
      <w:r w:rsidR="003A0F44" w:rsidRPr="00C15E36">
        <w:rPr>
          <w:color w:val="000000" w:themeColor="text1"/>
        </w:rPr>
        <w:t>przyszło pierwsze</w:t>
      </w:r>
      <w:r w:rsidR="00277059" w:rsidRPr="00C15E36">
        <w:rPr>
          <w:color w:val="000000" w:themeColor="text1"/>
        </w:rPr>
        <w:t xml:space="preserve"> wyszło”</w:t>
      </w:r>
      <w:r w:rsidR="00A2008C" w:rsidRPr="00C15E36">
        <w:rPr>
          <w:color w:val="000000" w:themeColor="text1"/>
        </w:rPr>
        <w:t xml:space="preserve"> </w:t>
      </w:r>
      <w:r w:rsidR="00E03D5C" w:rsidRPr="00C15E36">
        <w:rPr>
          <w:color w:val="000000" w:themeColor="text1"/>
        </w:rPr>
        <w:t xml:space="preserve">lub identyfikacji szczegółowej. </w:t>
      </w:r>
    </w:p>
    <w:p w:rsidR="00741637" w:rsidRPr="00900B5C" w:rsidRDefault="00741637" w:rsidP="0010546E">
      <w:pPr>
        <w:pStyle w:val="Akapitzlist"/>
        <w:numPr>
          <w:ilvl w:val="0"/>
          <w:numId w:val="3"/>
        </w:numPr>
        <w:jc w:val="both"/>
      </w:pPr>
      <w:r w:rsidRPr="00900B5C">
        <w:t>Inne informacje:</w:t>
      </w:r>
    </w:p>
    <w:p w:rsidR="00741637" w:rsidRPr="00B109E5" w:rsidRDefault="00AA15D4" w:rsidP="0010546E">
      <w:pPr>
        <w:pStyle w:val="Akapitzlist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adjustRightInd w:val="0"/>
        <w:jc w:val="both"/>
      </w:pPr>
      <w:r w:rsidRPr="00B109E5">
        <w:t>Żegluga Świnoujska:</w:t>
      </w:r>
    </w:p>
    <w:p w:rsidR="00741637" w:rsidRPr="00B109E5" w:rsidRDefault="00741637" w:rsidP="00DA260E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ind w:left="851" w:hanging="413"/>
        <w:jc w:val="both"/>
      </w:pPr>
      <w:r w:rsidRPr="00B109E5">
        <w:t>Wyłączeniu z ewidencji ilościowo-wartościowej bez względu na wartość podlegają:</w:t>
      </w:r>
    </w:p>
    <w:p w:rsidR="00741637" w:rsidRPr="00B109E5" w:rsidRDefault="003A1794" w:rsidP="00DA260E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ind w:left="851" w:hanging="413"/>
        <w:jc w:val="both"/>
      </w:pPr>
      <w:r w:rsidRPr="00B109E5">
        <w:t>a) i</w:t>
      </w:r>
      <w:r w:rsidR="00741637" w:rsidRPr="00B109E5">
        <w:t>ndywidualna odzież ochronna wydawana pracownikom do użytku służbowego. Ewidencja odzieży prowadzona jest w indywidualnych</w:t>
      </w:r>
      <w:r w:rsidR="009C5A49" w:rsidRPr="00B109E5">
        <w:t xml:space="preserve"> kartach wyposażenia pracownika.</w:t>
      </w:r>
    </w:p>
    <w:p w:rsidR="00741637" w:rsidRPr="00B109E5" w:rsidRDefault="00741637" w:rsidP="00DA260E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ind w:left="851" w:hanging="413"/>
        <w:jc w:val="both"/>
      </w:pPr>
      <w:r w:rsidRPr="00B109E5">
        <w:t xml:space="preserve">b) </w:t>
      </w:r>
      <w:r w:rsidR="003A1794" w:rsidRPr="00B109E5">
        <w:t>w</w:t>
      </w:r>
      <w:r w:rsidRPr="00B109E5">
        <w:t>yposażenie w tym meble i urządzenia, narzędz</w:t>
      </w:r>
      <w:r w:rsidR="0010546E" w:rsidRPr="00B109E5">
        <w:t>ia i osprzęt PPOŻ, ratowniczy i </w:t>
      </w:r>
      <w:r w:rsidRPr="00B109E5">
        <w:t>szkutniczy użytkowany na jednostkach pływających. Szczegółowa ewidencja ilościowa wyposażenia promów prowadzona jest w księgach inwentarzowych</w:t>
      </w:r>
      <w:r w:rsidR="00B109E5" w:rsidRPr="00B109E5">
        <w:t xml:space="preserve"> odrębnych dla każdej jednostki</w:t>
      </w:r>
      <w:r w:rsidRPr="00B109E5">
        <w:t>.</w:t>
      </w:r>
    </w:p>
    <w:p w:rsidR="00741637" w:rsidRPr="00B109E5" w:rsidRDefault="00DA260E" w:rsidP="00DA260E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ind w:left="851" w:hanging="413"/>
        <w:jc w:val="both"/>
      </w:pPr>
      <w:r w:rsidRPr="00B109E5">
        <w:tab/>
      </w:r>
      <w:r w:rsidR="00741637" w:rsidRPr="00B109E5">
        <w:t xml:space="preserve">Bez względu na wartość ewidencji ilościowo-wartościowej </w:t>
      </w:r>
      <w:r w:rsidR="00B109E5" w:rsidRPr="00B109E5">
        <w:t>ujmowane są:</w:t>
      </w:r>
      <w:r w:rsidR="00741637" w:rsidRPr="00B109E5">
        <w:t xml:space="preserve"> telefony komórkowe</w:t>
      </w:r>
      <w:r w:rsidR="00B109E5" w:rsidRPr="00B109E5">
        <w:t>,</w:t>
      </w:r>
      <w:r w:rsidR="00741637" w:rsidRPr="00B109E5">
        <w:t xml:space="preserve"> urządzenia do odbioru internetu mobiln</w:t>
      </w:r>
      <w:r w:rsidR="00B109E5" w:rsidRPr="00B109E5">
        <w:t>ego oraz</w:t>
      </w:r>
      <w:r w:rsidR="00AA15D4" w:rsidRPr="00B109E5">
        <w:t xml:space="preserve"> drukarki, lodówki, kuchenki i meble stanowiące wyposażenie biur.</w:t>
      </w:r>
    </w:p>
    <w:p w:rsidR="00741637" w:rsidRPr="00B109E5" w:rsidRDefault="00DA260E" w:rsidP="00DA260E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ind w:left="851" w:hanging="413"/>
        <w:jc w:val="both"/>
      </w:pPr>
      <w:r w:rsidRPr="00B109E5">
        <w:tab/>
      </w:r>
      <w:r w:rsidR="00741637" w:rsidRPr="00B109E5">
        <w:t>Szczegółowe informacje w zakresie pozycji 4 punkt 7:</w:t>
      </w:r>
    </w:p>
    <w:p w:rsidR="00741637" w:rsidRPr="00B109E5" w:rsidRDefault="00DA260E" w:rsidP="00DA260E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ind w:left="851" w:hanging="413"/>
        <w:jc w:val="both"/>
      </w:pPr>
      <w:r w:rsidRPr="00B109E5">
        <w:tab/>
      </w:r>
      <w:r w:rsidR="00741637" w:rsidRPr="00B109E5">
        <w:t>Materiały do magazynu przyjmowane są w cenach zakupu, koszty dostawy występują sporadyczne i odnoszone są w ciężar kosztów operacyjnych w okresie ich poniesienia.</w:t>
      </w:r>
    </w:p>
    <w:p w:rsidR="00741637" w:rsidRPr="001F2D87" w:rsidRDefault="0010546E" w:rsidP="0010546E">
      <w:pPr>
        <w:pStyle w:val="Akapitzlist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adjustRightInd w:val="0"/>
        <w:jc w:val="both"/>
      </w:pPr>
      <w:r w:rsidRPr="001F2D87">
        <w:t xml:space="preserve">Komenda Miejska Państwowej Straży Pożarnej w Świnoujściu - w zakresie pozycji 4 pkt. 6 przyjęto dodatkowy zapis: </w:t>
      </w:r>
      <w:r w:rsidR="00B52814" w:rsidRPr="001F2D87">
        <w:t xml:space="preserve">pomoce dydaktyczne podlegają ewidencji ilościowo – wartościowej powyżej 300 zł, </w:t>
      </w:r>
      <w:r w:rsidRPr="001F2D87">
        <w:t>nie podlegają ewidencji ilościowej nisko</w:t>
      </w:r>
      <w:r w:rsidR="00735BE6" w:rsidRPr="001F2D87">
        <w:t xml:space="preserve"> </w:t>
      </w:r>
      <w:r w:rsidRPr="001F2D87">
        <w:t>cenne przedmioty majątkowe oraz wyposażenie trwałe umocowane do ścian, sufitów, podłó</w:t>
      </w:r>
      <w:r w:rsidR="00645EDA" w:rsidRPr="001F2D87">
        <w:t>g bez względu na wartość.</w:t>
      </w:r>
    </w:p>
    <w:p w:rsidR="00DA260E" w:rsidRPr="001F2D87" w:rsidRDefault="00DA260E" w:rsidP="0010546E">
      <w:pPr>
        <w:pStyle w:val="Akapitzlist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adjustRightInd w:val="0"/>
        <w:jc w:val="both"/>
      </w:pPr>
      <w:r w:rsidRPr="001F2D87">
        <w:t>Powiatowy Urząd Pracy</w:t>
      </w:r>
      <w:r w:rsidR="003B5FDA" w:rsidRPr="001F2D87">
        <w:t xml:space="preserve"> - w zakresie pozycji 4 pkt. 6 przyjęto dodatkowy zapis: nie podlegają ewidencji ilościowej na koncie 013 przedmioty nisko</w:t>
      </w:r>
      <w:r w:rsidR="00735BE6" w:rsidRPr="001F2D87">
        <w:t xml:space="preserve"> </w:t>
      </w:r>
      <w:r w:rsidR="003B5FDA" w:rsidRPr="001F2D87">
        <w:t>cenne do kwoty 200 zł. Aktywa i pasywa dotyczące Funduszu Pracy wycenia się wg</w:t>
      </w:r>
      <w:r w:rsidR="00645EDA" w:rsidRPr="001F2D87">
        <w:t xml:space="preserve"> zasad przyjętych dla jednostki.</w:t>
      </w:r>
    </w:p>
    <w:p w:rsidR="00C83305" w:rsidRPr="00B654F3" w:rsidRDefault="00C83305" w:rsidP="0010546E">
      <w:pPr>
        <w:pStyle w:val="Akapitzlist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adjustRightInd w:val="0"/>
        <w:jc w:val="both"/>
      </w:pPr>
      <w:r w:rsidRPr="00B654F3">
        <w:t xml:space="preserve">Szkoła Podstawowa nr 2 – środki dydaktyczne podlegają ewidencji ilościowo – wartościowej bez względu na wartość początkową, dla których odpisy amortyzacyjne są uznawane za koszty uzyskania przychodu w 100% ich wartości </w:t>
      </w:r>
      <w:r w:rsidR="00645EDA" w:rsidRPr="00B654F3">
        <w:t>w momencie oddania do używania.</w:t>
      </w:r>
    </w:p>
    <w:p w:rsidR="00B654F3" w:rsidRPr="00A4505B" w:rsidRDefault="00A4505B" w:rsidP="00A4505B">
      <w:pPr>
        <w:pStyle w:val="Akapitzlist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adjustRightInd w:val="0"/>
        <w:jc w:val="both"/>
      </w:pPr>
      <w:r w:rsidRPr="00A4505B">
        <w:t xml:space="preserve">Specjalny Ośrodek Szkolno-Wychowawczy im. Marii Konopnickiej - materiały zakupione na potrzeby SOSW w tym materiały konserwatorskie, materiały biurowe, </w:t>
      </w:r>
      <w:r w:rsidRPr="00A4505B">
        <w:lastRenderedPageBreak/>
        <w:t>przybory szkolne, znaczki pocztowe, środki czystości, których wartość odpisywana jest w koszty w momencie zakupu, nie podlegają korekcie kosztów na dzień bilansowy, gdyż wartość kosztów przechodzi z roku na rok w zbliżonej wartości ze względu na zakupy dokonywane na koniec roku obrotowego. Nie wywiera to ujemnego wpływu na sytuację majątkową Ośrodka oraz wynik finansowy jednostki.</w:t>
      </w:r>
    </w:p>
    <w:p w:rsidR="00631AD4" w:rsidRPr="00A4505B" w:rsidRDefault="00631AD4" w:rsidP="00631AD4">
      <w:pPr>
        <w:pStyle w:val="Akapitzlist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adjustRightInd w:val="0"/>
        <w:jc w:val="both"/>
      </w:pPr>
      <w:r w:rsidRPr="00A4505B">
        <w:t xml:space="preserve">Przedszkole Miejskie </w:t>
      </w:r>
      <w:r w:rsidR="00205016" w:rsidRPr="00A4505B">
        <w:t>nr 3, nr 5, nr 11</w:t>
      </w:r>
      <w:r w:rsidRPr="00A4505B">
        <w:t xml:space="preserve"> - nie podlegają ewidencji ilościowej nisko</w:t>
      </w:r>
      <w:r w:rsidR="00735BE6" w:rsidRPr="00A4505B">
        <w:t xml:space="preserve"> </w:t>
      </w:r>
      <w:r w:rsidRPr="00A4505B">
        <w:t>cenne przedmioty majątkowe oraz wyposażenie trwałe umocowane do ścian, sufitów, podłóg bez względu na wartość,</w:t>
      </w:r>
      <w:r w:rsidR="0030224E" w:rsidRPr="00A4505B">
        <w:t xml:space="preserve"> pomoce dydaktyczne podlegają ewidencji ilościowo – wartościowej powyżej </w:t>
      </w:r>
      <w:r w:rsidR="00645EDA" w:rsidRPr="00A4505B">
        <w:t>300 - 500 zł.</w:t>
      </w:r>
    </w:p>
    <w:p w:rsidR="00A2008C" w:rsidRPr="001F2D87" w:rsidRDefault="00A2008C" w:rsidP="00A2008C">
      <w:pPr>
        <w:pStyle w:val="Akapitzlist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adjustRightInd w:val="0"/>
        <w:jc w:val="both"/>
      </w:pPr>
      <w:r w:rsidRPr="001F2D87">
        <w:t>Ośrodek Sportu i Rekreacji „Wyspiarz” - pozostałe środki trwałe, których wartość początkowa przekracza 300 zł brutto, a nie przekracza kwoty wymienionej w ustawie z dnia 15 lutego 1992 r. o podatku dochodowym od osób prawnych zalicza się do pozostałych środków trwałych bez względu na ich wartość. Nie podlegają ewidencji ilościowo - wartościowej drobne przedmioty majątkowe oraz wyposażenie trwałe umocowane do ścian, sufitów, podłóg bez względu na wartość. W uzasadnionych przypadkach nisko cenne przedmioty mogą zostać wpisane do ewidencji ilościowej, pozaksięgowe</w:t>
      </w:r>
      <w:r w:rsidR="00645EDA" w:rsidRPr="001F2D87">
        <w:t>j (tzw. książeczki narzędziowe).</w:t>
      </w:r>
    </w:p>
    <w:p w:rsidR="006052B2" w:rsidRPr="00B02AB3" w:rsidRDefault="006052B2" w:rsidP="006052B2">
      <w:pPr>
        <w:pStyle w:val="Akapitzlist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adjustRightInd w:val="0"/>
        <w:jc w:val="both"/>
      </w:pPr>
      <w:r w:rsidRPr="00B02AB3">
        <w:t xml:space="preserve">Urząd Miasta - rokiem obrotowym jest okres roku budżetowego, czyli rok kalendarzowy począwszy od dnia 1 stycznia do 31 grudnia. Wynik finansowy jest różnicą pomiędzy przychodami a kosztami za rok obrotowy i następuje zgodnie z wariantem porównawczym rachunku zysków i strat. Środki pieniężne na rachunkach wycenia sią według wartości nominalnej. Księgi rachunkowe Urzędu Miasta Świnoujście prowadzi się w jego siedzibie przy ul. Wojska Polskiego 1/5 w Świnoujściu. </w:t>
      </w:r>
    </w:p>
    <w:p w:rsidR="008847F6" w:rsidRPr="00BB1EAD" w:rsidRDefault="006052B2" w:rsidP="006052B2">
      <w:pPr>
        <w:pStyle w:val="Akapitzlist"/>
        <w:widowControl w:val="0"/>
        <w:tabs>
          <w:tab w:val="left" w:pos="361"/>
        </w:tabs>
        <w:autoSpaceDE w:val="0"/>
        <w:autoSpaceDN w:val="0"/>
        <w:adjustRightInd w:val="0"/>
        <w:ind w:left="798"/>
        <w:jc w:val="both"/>
        <w:rPr>
          <w:color w:val="000000" w:themeColor="text1"/>
        </w:rPr>
      </w:pPr>
      <w:r w:rsidRPr="00B02AB3">
        <w:t>Księgi rachunkowe prowadzone są za pomocą komputera. Obejmują zbiory zapisów księgowych, obrotów i sald, które tworzą: dzienniki, księgę główną, księgi pomocnicze, zestawienia: obrotów i sald kont księgi głównej oraz sald kont ksiąg pomocniczych oraz wykaz składników aktywów i pasywów (inwentarz). Walutę obcą wycenia się według kursu średniego danej waluty ust</w:t>
      </w:r>
      <w:r w:rsidR="00386D72" w:rsidRPr="00B02AB3">
        <w:t>alonego przez Prezesa NBP na ten</w:t>
      </w:r>
      <w:r w:rsidRPr="00B02AB3">
        <w:t xml:space="preserve"> dzień. W ciągu roku operacje kupna i sprzedaży walut oraz operacje zapłaty należności lub zobowiązań wycenia się po kursie z dnia</w:t>
      </w:r>
      <w:r w:rsidR="002E64D9" w:rsidRPr="00B02AB3">
        <w:t xml:space="preserve"> kupna lub sprzedaży banku, z </w:t>
      </w:r>
      <w:r w:rsidRPr="00B02AB3">
        <w:t xml:space="preserve">którego </w:t>
      </w:r>
      <w:r w:rsidRPr="00BB1EAD">
        <w:rPr>
          <w:color w:val="000000" w:themeColor="text1"/>
        </w:rPr>
        <w:t>usług korzysta Urzędu Miasta Świnoujście.</w:t>
      </w:r>
    </w:p>
    <w:p w:rsidR="008F0B46" w:rsidRPr="00BB1EAD" w:rsidRDefault="008F0B46" w:rsidP="00654A6D">
      <w:pPr>
        <w:widowControl w:val="0"/>
        <w:tabs>
          <w:tab w:val="left" w:pos="361"/>
        </w:tabs>
        <w:autoSpaceDE w:val="0"/>
        <w:autoSpaceDN w:val="0"/>
        <w:adjustRightInd w:val="0"/>
        <w:ind w:left="438"/>
        <w:jc w:val="both"/>
        <w:rPr>
          <w:color w:val="000000" w:themeColor="text1"/>
        </w:rPr>
      </w:pPr>
    </w:p>
    <w:p w:rsidR="00654A6D" w:rsidRPr="00BB1EAD" w:rsidRDefault="00654A6D" w:rsidP="00654A6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348"/>
        <w:rPr>
          <w:b/>
          <w:color w:val="000000" w:themeColor="text1"/>
        </w:rPr>
      </w:pPr>
      <w:r w:rsidRPr="00BB1EAD">
        <w:rPr>
          <w:b/>
          <w:color w:val="000000" w:themeColor="text1"/>
        </w:rPr>
        <w:t>Dodatkowe informacje i objaśnienia:</w:t>
      </w:r>
    </w:p>
    <w:p w:rsidR="00654A6D" w:rsidRPr="0071249E" w:rsidRDefault="00AC687C" w:rsidP="00294F77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47" w:line="250" w:lineRule="auto"/>
        <w:ind w:left="993" w:right="40" w:hanging="567"/>
        <w:jc w:val="both"/>
        <w:rPr>
          <w:color w:val="000000" w:themeColor="text1"/>
        </w:rPr>
      </w:pPr>
      <w:r w:rsidRPr="00BB1EAD">
        <w:rPr>
          <w:color w:val="000000" w:themeColor="text1"/>
        </w:rPr>
        <w:t>szczegółowy</w:t>
      </w:r>
      <w:r w:rsidRPr="00BB1EAD">
        <w:rPr>
          <w:color w:val="000000" w:themeColor="text1"/>
          <w:spacing w:val="1"/>
        </w:rPr>
        <w:t xml:space="preserve"> </w:t>
      </w:r>
      <w:r w:rsidRPr="00BB1EAD">
        <w:rPr>
          <w:color w:val="000000" w:themeColor="text1"/>
        </w:rPr>
        <w:t>zakres</w:t>
      </w:r>
      <w:r w:rsidRPr="00BB1EAD">
        <w:rPr>
          <w:color w:val="000000" w:themeColor="text1"/>
          <w:spacing w:val="1"/>
        </w:rPr>
        <w:t xml:space="preserve"> </w:t>
      </w:r>
      <w:r w:rsidRPr="00BB1EAD">
        <w:rPr>
          <w:color w:val="000000" w:themeColor="text1"/>
        </w:rPr>
        <w:t>zmian</w:t>
      </w:r>
      <w:r w:rsidRPr="00BB1EAD">
        <w:rPr>
          <w:color w:val="000000" w:themeColor="text1"/>
          <w:spacing w:val="1"/>
        </w:rPr>
        <w:t xml:space="preserve"> </w:t>
      </w:r>
      <w:r w:rsidRPr="00BB1EAD">
        <w:rPr>
          <w:color w:val="000000" w:themeColor="text1"/>
        </w:rPr>
        <w:t>wartości</w:t>
      </w:r>
      <w:r w:rsidRPr="00BB1EAD">
        <w:rPr>
          <w:color w:val="000000" w:themeColor="text1"/>
          <w:spacing w:val="1"/>
        </w:rPr>
        <w:t xml:space="preserve"> </w:t>
      </w:r>
      <w:r w:rsidRPr="00BB1EAD">
        <w:rPr>
          <w:color w:val="000000" w:themeColor="text1"/>
        </w:rPr>
        <w:t>grup</w:t>
      </w:r>
      <w:r w:rsidRPr="00BB1EAD">
        <w:rPr>
          <w:color w:val="000000" w:themeColor="text1"/>
          <w:spacing w:val="1"/>
        </w:rPr>
        <w:t xml:space="preserve"> </w:t>
      </w:r>
      <w:r w:rsidRPr="00BB1EAD">
        <w:rPr>
          <w:color w:val="000000" w:themeColor="text1"/>
        </w:rPr>
        <w:t>rodzajowych</w:t>
      </w:r>
      <w:r w:rsidRPr="00BB1EAD">
        <w:rPr>
          <w:color w:val="000000" w:themeColor="text1"/>
          <w:spacing w:val="1"/>
        </w:rPr>
        <w:t xml:space="preserve"> </w:t>
      </w:r>
      <w:r w:rsidRPr="00BB1EAD">
        <w:rPr>
          <w:color w:val="000000" w:themeColor="text1"/>
        </w:rPr>
        <w:t>środków</w:t>
      </w:r>
      <w:r w:rsidRPr="00BB1EAD">
        <w:rPr>
          <w:color w:val="000000" w:themeColor="text1"/>
          <w:spacing w:val="1"/>
        </w:rPr>
        <w:t xml:space="preserve"> </w:t>
      </w:r>
      <w:r w:rsidRPr="00BB1EAD">
        <w:rPr>
          <w:color w:val="000000" w:themeColor="text1"/>
        </w:rPr>
        <w:t>trwałych,</w:t>
      </w:r>
      <w:r w:rsidRPr="00BB1EAD">
        <w:rPr>
          <w:color w:val="000000" w:themeColor="text1"/>
          <w:spacing w:val="1"/>
        </w:rPr>
        <w:t xml:space="preserve"> </w:t>
      </w:r>
      <w:r w:rsidRPr="00BB1EAD">
        <w:rPr>
          <w:color w:val="000000" w:themeColor="text1"/>
        </w:rPr>
        <w:t>wartości</w:t>
      </w:r>
      <w:r w:rsidRPr="00BB1EAD">
        <w:rPr>
          <w:color w:val="000000" w:themeColor="text1"/>
          <w:spacing w:val="1"/>
        </w:rPr>
        <w:t xml:space="preserve"> </w:t>
      </w:r>
      <w:r w:rsidRPr="00BB1EAD">
        <w:rPr>
          <w:color w:val="000000" w:themeColor="text1"/>
        </w:rPr>
        <w:t>niematerialnych i prawnych, zawierający stan tych aktywów na początek roku obrotowego, zwiększenia i zmniejszenia z tytułu: aktualizacji wartości,</w:t>
      </w:r>
      <w:r w:rsidRPr="00BB1EAD">
        <w:rPr>
          <w:color w:val="000000" w:themeColor="text1"/>
          <w:spacing w:val="-6"/>
        </w:rPr>
        <w:t xml:space="preserve"> </w:t>
      </w:r>
      <w:r w:rsidRPr="00BB1EAD">
        <w:rPr>
          <w:color w:val="000000" w:themeColor="text1"/>
        </w:rPr>
        <w:t>nabycia,</w:t>
      </w:r>
      <w:r w:rsidRPr="00BB1EAD">
        <w:rPr>
          <w:color w:val="000000" w:themeColor="text1"/>
          <w:spacing w:val="-6"/>
        </w:rPr>
        <w:t xml:space="preserve"> </w:t>
      </w:r>
      <w:r w:rsidRPr="00BB1EAD">
        <w:rPr>
          <w:color w:val="000000" w:themeColor="text1"/>
        </w:rPr>
        <w:t>rozchodu,</w:t>
      </w:r>
      <w:r w:rsidRPr="00BB1EAD">
        <w:rPr>
          <w:color w:val="000000" w:themeColor="text1"/>
          <w:spacing w:val="-6"/>
        </w:rPr>
        <w:t xml:space="preserve"> </w:t>
      </w:r>
      <w:r w:rsidRPr="00BB1EAD">
        <w:rPr>
          <w:color w:val="000000" w:themeColor="text1"/>
        </w:rPr>
        <w:t>przemieszczenia</w:t>
      </w:r>
      <w:r w:rsidRPr="00BB1EAD">
        <w:rPr>
          <w:color w:val="000000" w:themeColor="text1"/>
          <w:spacing w:val="-7"/>
        </w:rPr>
        <w:t xml:space="preserve"> </w:t>
      </w:r>
      <w:r w:rsidRPr="00BB1EAD">
        <w:rPr>
          <w:color w:val="000000" w:themeColor="text1"/>
        </w:rPr>
        <w:t>wewnętrznego</w:t>
      </w:r>
      <w:r w:rsidRPr="00BB1EAD">
        <w:rPr>
          <w:color w:val="000000" w:themeColor="text1"/>
          <w:spacing w:val="-6"/>
        </w:rPr>
        <w:t xml:space="preserve"> </w:t>
      </w:r>
      <w:r w:rsidRPr="00BB1EAD">
        <w:rPr>
          <w:color w:val="000000" w:themeColor="text1"/>
        </w:rPr>
        <w:t>oraz</w:t>
      </w:r>
      <w:r w:rsidRPr="00BB1EAD">
        <w:rPr>
          <w:color w:val="000000" w:themeColor="text1"/>
          <w:spacing w:val="-6"/>
        </w:rPr>
        <w:t xml:space="preserve"> </w:t>
      </w:r>
      <w:r w:rsidRPr="00BB1EAD">
        <w:rPr>
          <w:color w:val="000000" w:themeColor="text1"/>
        </w:rPr>
        <w:t>stan</w:t>
      </w:r>
      <w:r w:rsidRPr="00BB1EAD">
        <w:rPr>
          <w:color w:val="000000" w:themeColor="text1"/>
          <w:spacing w:val="-6"/>
        </w:rPr>
        <w:t xml:space="preserve"> </w:t>
      </w:r>
      <w:r w:rsidRPr="00BB1EAD">
        <w:rPr>
          <w:color w:val="000000" w:themeColor="text1"/>
        </w:rPr>
        <w:t>końcowy,</w:t>
      </w:r>
      <w:r w:rsidRPr="00BB1EAD">
        <w:rPr>
          <w:color w:val="000000" w:themeColor="text1"/>
          <w:spacing w:val="-6"/>
        </w:rPr>
        <w:t xml:space="preserve"> </w:t>
      </w:r>
      <w:r w:rsidRPr="00BB1EAD">
        <w:rPr>
          <w:color w:val="000000" w:themeColor="text1"/>
        </w:rPr>
        <w:t>a</w:t>
      </w:r>
      <w:r w:rsidRPr="00BB1EAD">
        <w:rPr>
          <w:color w:val="000000" w:themeColor="text1"/>
          <w:spacing w:val="-7"/>
        </w:rPr>
        <w:t xml:space="preserve"> </w:t>
      </w:r>
      <w:r w:rsidRPr="00BB1EAD">
        <w:rPr>
          <w:color w:val="000000" w:themeColor="text1"/>
        </w:rPr>
        <w:t>dla</w:t>
      </w:r>
      <w:r w:rsidRPr="00BB1EAD">
        <w:rPr>
          <w:color w:val="000000" w:themeColor="text1"/>
          <w:spacing w:val="-6"/>
        </w:rPr>
        <w:t xml:space="preserve"> </w:t>
      </w:r>
      <w:r w:rsidRPr="00BB1EAD">
        <w:rPr>
          <w:color w:val="000000" w:themeColor="text1"/>
        </w:rPr>
        <w:t>majątku</w:t>
      </w:r>
      <w:r w:rsidRPr="00BB1EAD">
        <w:rPr>
          <w:color w:val="000000" w:themeColor="text1"/>
          <w:spacing w:val="-7"/>
        </w:rPr>
        <w:t xml:space="preserve"> </w:t>
      </w:r>
      <w:r w:rsidRPr="00BB1EAD">
        <w:rPr>
          <w:color w:val="000000" w:themeColor="text1"/>
        </w:rPr>
        <w:t xml:space="preserve">amortyzowanego – podobne przedstawienie stanów i tytułów zmian </w:t>
      </w:r>
      <w:r w:rsidRPr="0071249E">
        <w:rPr>
          <w:color w:val="000000" w:themeColor="text1"/>
        </w:rPr>
        <w:t>dotychczasowej amortyzacji lub umorzenia</w:t>
      </w:r>
      <w:r w:rsidR="007516BD" w:rsidRPr="0071249E">
        <w:rPr>
          <w:color w:val="000000" w:themeColor="text1"/>
        </w:rPr>
        <w:t xml:space="preserve"> – tabela nr 1.2</w:t>
      </w:r>
      <w:r w:rsidR="006778EA" w:rsidRPr="0071249E">
        <w:rPr>
          <w:color w:val="000000" w:themeColor="text1"/>
        </w:rPr>
        <w:t>,</w:t>
      </w:r>
    </w:p>
    <w:p w:rsidR="00AC687C" w:rsidRPr="0071249E" w:rsidRDefault="00AC687C" w:rsidP="00294F77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47" w:line="250" w:lineRule="auto"/>
        <w:ind w:left="993" w:right="40" w:hanging="567"/>
        <w:jc w:val="both"/>
        <w:rPr>
          <w:color w:val="000000" w:themeColor="text1"/>
        </w:rPr>
      </w:pPr>
      <w:r w:rsidRPr="0071249E">
        <w:rPr>
          <w:color w:val="000000" w:themeColor="text1"/>
        </w:rPr>
        <w:t>aktualną</w:t>
      </w:r>
      <w:r w:rsidRPr="0071249E">
        <w:rPr>
          <w:color w:val="000000" w:themeColor="text1"/>
          <w:spacing w:val="-13"/>
        </w:rPr>
        <w:t xml:space="preserve"> </w:t>
      </w:r>
      <w:r w:rsidRPr="0071249E">
        <w:rPr>
          <w:color w:val="000000" w:themeColor="text1"/>
        </w:rPr>
        <w:t>wartość</w:t>
      </w:r>
      <w:r w:rsidRPr="0071249E">
        <w:rPr>
          <w:color w:val="000000" w:themeColor="text1"/>
          <w:spacing w:val="-13"/>
        </w:rPr>
        <w:t xml:space="preserve"> </w:t>
      </w:r>
      <w:r w:rsidRPr="0071249E">
        <w:rPr>
          <w:color w:val="000000" w:themeColor="text1"/>
        </w:rPr>
        <w:t>rynkową</w:t>
      </w:r>
      <w:r w:rsidRPr="0071249E">
        <w:rPr>
          <w:color w:val="000000" w:themeColor="text1"/>
          <w:spacing w:val="-13"/>
        </w:rPr>
        <w:t xml:space="preserve"> </w:t>
      </w:r>
      <w:r w:rsidRPr="0071249E">
        <w:rPr>
          <w:color w:val="000000" w:themeColor="text1"/>
        </w:rPr>
        <w:t>środków</w:t>
      </w:r>
      <w:r w:rsidRPr="0071249E">
        <w:rPr>
          <w:color w:val="000000" w:themeColor="text1"/>
          <w:spacing w:val="-13"/>
        </w:rPr>
        <w:t xml:space="preserve"> </w:t>
      </w:r>
      <w:r w:rsidRPr="0071249E">
        <w:rPr>
          <w:color w:val="000000" w:themeColor="text1"/>
        </w:rPr>
        <w:t>trwałych,</w:t>
      </w:r>
      <w:r w:rsidRPr="0071249E">
        <w:rPr>
          <w:color w:val="000000" w:themeColor="text1"/>
          <w:spacing w:val="-13"/>
        </w:rPr>
        <w:t xml:space="preserve"> </w:t>
      </w:r>
      <w:r w:rsidRPr="0071249E">
        <w:rPr>
          <w:color w:val="000000" w:themeColor="text1"/>
        </w:rPr>
        <w:t>w</w:t>
      </w:r>
      <w:r w:rsidRPr="0071249E">
        <w:rPr>
          <w:color w:val="000000" w:themeColor="text1"/>
          <w:spacing w:val="-13"/>
        </w:rPr>
        <w:t xml:space="preserve"> </w:t>
      </w:r>
      <w:r w:rsidRPr="0071249E">
        <w:rPr>
          <w:color w:val="000000" w:themeColor="text1"/>
        </w:rPr>
        <w:t>tym</w:t>
      </w:r>
      <w:r w:rsidRPr="0071249E">
        <w:rPr>
          <w:color w:val="000000" w:themeColor="text1"/>
          <w:spacing w:val="-13"/>
        </w:rPr>
        <w:t xml:space="preserve"> </w:t>
      </w:r>
      <w:r w:rsidRPr="0071249E">
        <w:rPr>
          <w:color w:val="000000" w:themeColor="text1"/>
        </w:rPr>
        <w:t>dóbr</w:t>
      </w:r>
      <w:r w:rsidRPr="0071249E">
        <w:rPr>
          <w:color w:val="000000" w:themeColor="text1"/>
          <w:spacing w:val="-13"/>
        </w:rPr>
        <w:t xml:space="preserve"> </w:t>
      </w:r>
      <w:r w:rsidRPr="0071249E">
        <w:rPr>
          <w:color w:val="000000" w:themeColor="text1"/>
        </w:rPr>
        <w:t>kultury</w:t>
      </w:r>
      <w:r w:rsidRPr="0071249E">
        <w:rPr>
          <w:color w:val="000000" w:themeColor="text1"/>
          <w:spacing w:val="-13"/>
        </w:rPr>
        <w:t xml:space="preserve"> </w:t>
      </w:r>
      <w:r w:rsidRPr="0071249E">
        <w:rPr>
          <w:color w:val="000000" w:themeColor="text1"/>
        </w:rPr>
        <w:t>–</w:t>
      </w:r>
      <w:r w:rsidRPr="0071249E">
        <w:rPr>
          <w:color w:val="000000" w:themeColor="text1"/>
          <w:spacing w:val="-13"/>
        </w:rPr>
        <w:t xml:space="preserve"> </w:t>
      </w:r>
      <w:r w:rsidRPr="0071249E">
        <w:rPr>
          <w:color w:val="000000" w:themeColor="text1"/>
        </w:rPr>
        <w:t>o</w:t>
      </w:r>
      <w:r w:rsidRPr="0071249E">
        <w:rPr>
          <w:color w:val="000000" w:themeColor="text1"/>
          <w:spacing w:val="-13"/>
        </w:rPr>
        <w:t xml:space="preserve"> </w:t>
      </w:r>
      <w:r w:rsidRPr="0071249E">
        <w:rPr>
          <w:color w:val="000000" w:themeColor="text1"/>
        </w:rPr>
        <w:t>ile</w:t>
      </w:r>
      <w:r w:rsidRPr="0071249E">
        <w:rPr>
          <w:color w:val="000000" w:themeColor="text1"/>
          <w:spacing w:val="-13"/>
        </w:rPr>
        <w:t xml:space="preserve"> </w:t>
      </w:r>
      <w:r w:rsidRPr="0071249E">
        <w:rPr>
          <w:color w:val="000000" w:themeColor="text1"/>
        </w:rPr>
        <w:t>jednostka</w:t>
      </w:r>
      <w:r w:rsidRPr="0071249E">
        <w:rPr>
          <w:color w:val="000000" w:themeColor="text1"/>
          <w:spacing w:val="-13"/>
        </w:rPr>
        <w:t xml:space="preserve"> </w:t>
      </w:r>
      <w:r w:rsidRPr="0071249E">
        <w:rPr>
          <w:color w:val="000000" w:themeColor="text1"/>
        </w:rPr>
        <w:t>dysponuje</w:t>
      </w:r>
      <w:r w:rsidRPr="0071249E">
        <w:rPr>
          <w:color w:val="000000" w:themeColor="text1"/>
          <w:spacing w:val="-13"/>
        </w:rPr>
        <w:t xml:space="preserve"> </w:t>
      </w:r>
      <w:r w:rsidRPr="0071249E">
        <w:rPr>
          <w:color w:val="000000" w:themeColor="text1"/>
        </w:rPr>
        <w:t>takimi</w:t>
      </w:r>
      <w:r w:rsidRPr="0071249E">
        <w:rPr>
          <w:color w:val="000000" w:themeColor="text1"/>
          <w:spacing w:val="-13"/>
        </w:rPr>
        <w:t xml:space="preserve"> </w:t>
      </w:r>
      <w:r w:rsidRPr="0071249E">
        <w:rPr>
          <w:color w:val="000000" w:themeColor="text1"/>
        </w:rPr>
        <w:t>informacjami</w:t>
      </w:r>
      <w:r w:rsidR="00EB2162" w:rsidRPr="0071249E">
        <w:rPr>
          <w:color w:val="000000" w:themeColor="text1"/>
        </w:rPr>
        <w:t xml:space="preserve"> –nie dotyczy</w:t>
      </w:r>
    </w:p>
    <w:p w:rsidR="00BC54F8" w:rsidRPr="0071249E" w:rsidRDefault="00BC54F8" w:rsidP="00294F77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47" w:line="250" w:lineRule="auto"/>
        <w:ind w:left="993" w:right="40" w:hanging="567"/>
        <w:jc w:val="both"/>
        <w:rPr>
          <w:color w:val="000000" w:themeColor="text1"/>
        </w:rPr>
      </w:pPr>
      <w:r w:rsidRPr="0071249E">
        <w:rPr>
          <w:color w:val="000000" w:themeColor="text1"/>
        </w:rPr>
        <w:t>kwotę</w:t>
      </w:r>
      <w:r w:rsidRPr="0071249E">
        <w:rPr>
          <w:color w:val="000000" w:themeColor="text1"/>
          <w:spacing w:val="-4"/>
        </w:rPr>
        <w:t xml:space="preserve"> </w:t>
      </w:r>
      <w:r w:rsidRPr="0071249E">
        <w:rPr>
          <w:color w:val="000000" w:themeColor="text1"/>
        </w:rPr>
        <w:t>dokonanych</w:t>
      </w:r>
      <w:r w:rsidRPr="0071249E">
        <w:rPr>
          <w:color w:val="000000" w:themeColor="text1"/>
          <w:spacing w:val="-4"/>
        </w:rPr>
        <w:t xml:space="preserve"> </w:t>
      </w:r>
      <w:r w:rsidRPr="0071249E">
        <w:rPr>
          <w:color w:val="000000" w:themeColor="text1"/>
        </w:rPr>
        <w:t>w</w:t>
      </w:r>
      <w:r w:rsidRPr="0071249E">
        <w:rPr>
          <w:color w:val="000000" w:themeColor="text1"/>
          <w:spacing w:val="-4"/>
        </w:rPr>
        <w:t xml:space="preserve"> </w:t>
      </w:r>
      <w:r w:rsidRPr="0071249E">
        <w:rPr>
          <w:color w:val="000000" w:themeColor="text1"/>
        </w:rPr>
        <w:t>trakcie</w:t>
      </w:r>
      <w:r w:rsidRPr="0071249E">
        <w:rPr>
          <w:color w:val="000000" w:themeColor="text1"/>
          <w:spacing w:val="-4"/>
        </w:rPr>
        <w:t xml:space="preserve"> </w:t>
      </w:r>
      <w:r w:rsidRPr="0071249E">
        <w:rPr>
          <w:color w:val="000000" w:themeColor="text1"/>
        </w:rPr>
        <w:t>roku</w:t>
      </w:r>
      <w:r w:rsidRPr="0071249E">
        <w:rPr>
          <w:color w:val="000000" w:themeColor="text1"/>
          <w:spacing w:val="-4"/>
        </w:rPr>
        <w:t xml:space="preserve"> </w:t>
      </w:r>
      <w:r w:rsidRPr="0071249E">
        <w:rPr>
          <w:color w:val="000000" w:themeColor="text1"/>
        </w:rPr>
        <w:t>obrotowego</w:t>
      </w:r>
      <w:r w:rsidRPr="0071249E">
        <w:rPr>
          <w:color w:val="000000" w:themeColor="text1"/>
          <w:spacing w:val="-4"/>
        </w:rPr>
        <w:t xml:space="preserve"> </w:t>
      </w:r>
      <w:r w:rsidRPr="0071249E">
        <w:rPr>
          <w:color w:val="000000" w:themeColor="text1"/>
        </w:rPr>
        <w:t>odpisów</w:t>
      </w:r>
      <w:r w:rsidRPr="0071249E">
        <w:rPr>
          <w:color w:val="000000" w:themeColor="text1"/>
          <w:spacing w:val="-4"/>
        </w:rPr>
        <w:t xml:space="preserve"> </w:t>
      </w:r>
      <w:r w:rsidRPr="0071249E">
        <w:rPr>
          <w:color w:val="000000" w:themeColor="text1"/>
        </w:rPr>
        <w:t>aktualizujących</w:t>
      </w:r>
      <w:r w:rsidRPr="0071249E">
        <w:rPr>
          <w:color w:val="000000" w:themeColor="text1"/>
          <w:spacing w:val="-4"/>
        </w:rPr>
        <w:t xml:space="preserve"> </w:t>
      </w:r>
      <w:r w:rsidRPr="0071249E">
        <w:rPr>
          <w:color w:val="000000" w:themeColor="text1"/>
        </w:rPr>
        <w:t>wartość</w:t>
      </w:r>
      <w:r w:rsidRPr="0071249E">
        <w:rPr>
          <w:color w:val="000000" w:themeColor="text1"/>
          <w:spacing w:val="-4"/>
        </w:rPr>
        <w:t xml:space="preserve"> </w:t>
      </w:r>
      <w:r w:rsidRPr="0071249E">
        <w:rPr>
          <w:color w:val="000000" w:themeColor="text1"/>
        </w:rPr>
        <w:t>aktywów</w:t>
      </w:r>
      <w:r w:rsidRPr="0071249E">
        <w:rPr>
          <w:color w:val="000000" w:themeColor="text1"/>
          <w:spacing w:val="-4"/>
        </w:rPr>
        <w:t xml:space="preserve"> </w:t>
      </w:r>
      <w:r w:rsidRPr="0071249E">
        <w:rPr>
          <w:color w:val="000000" w:themeColor="text1"/>
        </w:rPr>
        <w:t>trwałych</w:t>
      </w:r>
      <w:r w:rsidRPr="0071249E">
        <w:rPr>
          <w:color w:val="000000" w:themeColor="text1"/>
          <w:spacing w:val="-4"/>
        </w:rPr>
        <w:t xml:space="preserve"> </w:t>
      </w:r>
      <w:r w:rsidRPr="0071249E">
        <w:rPr>
          <w:color w:val="000000" w:themeColor="text1"/>
        </w:rPr>
        <w:t>odrębnie</w:t>
      </w:r>
      <w:r w:rsidRPr="0071249E">
        <w:rPr>
          <w:color w:val="000000" w:themeColor="text1"/>
          <w:spacing w:val="-4"/>
        </w:rPr>
        <w:t xml:space="preserve"> </w:t>
      </w:r>
      <w:r w:rsidRPr="0071249E">
        <w:rPr>
          <w:color w:val="000000" w:themeColor="text1"/>
        </w:rPr>
        <w:t>dla długoterminowych aktywów niefinansowych oraz długoterminowych aktywów finansowych</w:t>
      </w:r>
      <w:r w:rsidR="00EB2162" w:rsidRPr="0071249E">
        <w:rPr>
          <w:color w:val="000000" w:themeColor="text1"/>
        </w:rPr>
        <w:t xml:space="preserve"> – </w:t>
      </w:r>
      <w:r w:rsidR="004F1381" w:rsidRPr="0071249E">
        <w:rPr>
          <w:color w:val="000000" w:themeColor="text1"/>
        </w:rPr>
        <w:t>tabela nr 1.3</w:t>
      </w:r>
      <w:r w:rsidR="00677BF1" w:rsidRPr="0071249E">
        <w:rPr>
          <w:color w:val="000000" w:themeColor="text1"/>
        </w:rPr>
        <w:t>,</w:t>
      </w:r>
    </w:p>
    <w:p w:rsidR="008847F6" w:rsidRPr="0071249E" w:rsidRDefault="00BC54F8" w:rsidP="001A3C26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47" w:line="250" w:lineRule="auto"/>
        <w:ind w:left="993" w:right="40" w:hanging="567"/>
        <w:jc w:val="both"/>
        <w:rPr>
          <w:color w:val="000000" w:themeColor="text1"/>
        </w:rPr>
      </w:pPr>
      <w:r w:rsidRPr="0071249E">
        <w:rPr>
          <w:color w:val="000000" w:themeColor="text1"/>
        </w:rPr>
        <w:t>wartość gruntów użytkowanych wieczyście</w:t>
      </w:r>
      <w:r w:rsidR="00A90659" w:rsidRPr="0071249E">
        <w:rPr>
          <w:color w:val="000000" w:themeColor="text1"/>
        </w:rPr>
        <w:t xml:space="preserve"> – tabela nr 1.4</w:t>
      </w:r>
      <w:r w:rsidR="001A3C26" w:rsidRPr="0071249E">
        <w:rPr>
          <w:color w:val="000000" w:themeColor="text1"/>
        </w:rPr>
        <w:t>,</w:t>
      </w:r>
    </w:p>
    <w:p w:rsidR="00BC54F8" w:rsidRPr="0071249E" w:rsidRDefault="00BC54F8" w:rsidP="00294F77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47" w:line="250" w:lineRule="auto"/>
        <w:ind w:left="993" w:right="40" w:hanging="567"/>
        <w:jc w:val="both"/>
        <w:rPr>
          <w:color w:val="000000" w:themeColor="text1"/>
        </w:rPr>
      </w:pPr>
      <w:r w:rsidRPr="0071249E">
        <w:rPr>
          <w:color w:val="000000" w:themeColor="text1"/>
        </w:rPr>
        <w:t>wartość</w:t>
      </w:r>
      <w:r w:rsidRPr="0071249E">
        <w:rPr>
          <w:color w:val="000000" w:themeColor="text1"/>
          <w:spacing w:val="20"/>
        </w:rPr>
        <w:t xml:space="preserve"> </w:t>
      </w:r>
      <w:r w:rsidRPr="0071249E">
        <w:rPr>
          <w:color w:val="000000" w:themeColor="text1"/>
        </w:rPr>
        <w:t>nieamortyzowanych</w:t>
      </w:r>
      <w:r w:rsidRPr="0071249E">
        <w:rPr>
          <w:color w:val="000000" w:themeColor="text1"/>
          <w:spacing w:val="20"/>
        </w:rPr>
        <w:t xml:space="preserve"> </w:t>
      </w:r>
      <w:r w:rsidRPr="0071249E">
        <w:rPr>
          <w:color w:val="000000" w:themeColor="text1"/>
        </w:rPr>
        <w:t>lub</w:t>
      </w:r>
      <w:r w:rsidRPr="0071249E">
        <w:rPr>
          <w:color w:val="000000" w:themeColor="text1"/>
          <w:spacing w:val="20"/>
        </w:rPr>
        <w:t xml:space="preserve"> </w:t>
      </w:r>
      <w:r w:rsidRPr="0071249E">
        <w:rPr>
          <w:color w:val="000000" w:themeColor="text1"/>
        </w:rPr>
        <w:t>nieumarzanych</w:t>
      </w:r>
      <w:r w:rsidRPr="0071249E">
        <w:rPr>
          <w:color w:val="000000" w:themeColor="text1"/>
          <w:spacing w:val="19"/>
        </w:rPr>
        <w:t xml:space="preserve"> </w:t>
      </w:r>
      <w:r w:rsidRPr="0071249E">
        <w:rPr>
          <w:color w:val="000000" w:themeColor="text1"/>
        </w:rPr>
        <w:t>przez</w:t>
      </w:r>
      <w:r w:rsidRPr="0071249E">
        <w:rPr>
          <w:color w:val="000000" w:themeColor="text1"/>
          <w:spacing w:val="19"/>
        </w:rPr>
        <w:t xml:space="preserve"> </w:t>
      </w:r>
      <w:r w:rsidRPr="0071249E">
        <w:rPr>
          <w:color w:val="000000" w:themeColor="text1"/>
        </w:rPr>
        <w:t>jednostkę</w:t>
      </w:r>
      <w:r w:rsidRPr="0071249E">
        <w:rPr>
          <w:color w:val="000000" w:themeColor="text1"/>
          <w:spacing w:val="19"/>
        </w:rPr>
        <w:t xml:space="preserve"> </w:t>
      </w:r>
      <w:r w:rsidRPr="0071249E">
        <w:rPr>
          <w:color w:val="000000" w:themeColor="text1"/>
        </w:rPr>
        <w:t>środków</w:t>
      </w:r>
      <w:r w:rsidRPr="0071249E">
        <w:rPr>
          <w:color w:val="000000" w:themeColor="text1"/>
          <w:spacing w:val="20"/>
        </w:rPr>
        <w:t xml:space="preserve"> </w:t>
      </w:r>
      <w:r w:rsidRPr="0071249E">
        <w:rPr>
          <w:color w:val="000000" w:themeColor="text1"/>
        </w:rPr>
        <w:t>trwałych,</w:t>
      </w:r>
      <w:r w:rsidRPr="0071249E">
        <w:rPr>
          <w:color w:val="000000" w:themeColor="text1"/>
          <w:spacing w:val="19"/>
        </w:rPr>
        <w:t xml:space="preserve"> </w:t>
      </w:r>
      <w:r w:rsidRPr="0071249E">
        <w:rPr>
          <w:color w:val="000000" w:themeColor="text1"/>
        </w:rPr>
        <w:t>używanych</w:t>
      </w:r>
      <w:r w:rsidRPr="0071249E">
        <w:rPr>
          <w:color w:val="000000" w:themeColor="text1"/>
          <w:spacing w:val="20"/>
        </w:rPr>
        <w:t xml:space="preserve"> </w:t>
      </w:r>
      <w:r w:rsidRPr="0071249E">
        <w:rPr>
          <w:color w:val="000000" w:themeColor="text1"/>
        </w:rPr>
        <w:t>na</w:t>
      </w:r>
      <w:r w:rsidRPr="0071249E">
        <w:rPr>
          <w:color w:val="000000" w:themeColor="text1"/>
          <w:spacing w:val="20"/>
        </w:rPr>
        <w:t xml:space="preserve"> </w:t>
      </w:r>
      <w:r w:rsidRPr="0071249E">
        <w:rPr>
          <w:color w:val="000000" w:themeColor="text1"/>
        </w:rPr>
        <w:t>podstawie umów na</w:t>
      </w:r>
      <w:r w:rsidR="00294F77" w:rsidRPr="0071249E">
        <w:rPr>
          <w:color w:val="000000" w:themeColor="text1"/>
        </w:rPr>
        <w:t>jmu, dzierżawy i innych umów, w </w:t>
      </w:r>
      <w:r w:rsidRPr="0071249E">
        <w:rPr>
          <w:color w:val="000000" w:themeColor="text1"/>
        </w:rPr>
        <w:t>tym z tytułu umów leasingu</w:t>
      </w:r>
      <w:r w:rsidR="004F1381" w:rsidRPr="0071249E">
        <w:rPr>
          <w:color w:val="000000" w:themeColor="text1"/>
        </w:rPr>
        <w:t xml:space="preserve"> – tabela nr </w:t>
      </w:r>
      <w:r w:rsidR="00A90659" w:rsidRPr="0071249E">
        <w:rPr>
          <w:color w:val="000000" w:themeColor="text1"/>
        </w:rPr>
        <w:t>1.5</w:t>
      </w:r>
      <w:r w:rsidR="00A10283" w:rsidRPr="0071249E">
        <w:rPr>
          <w:color w:val="000000" w:themeColor="text1"/>
        </w:rPr>
        <w:t>,</w:t>
      </w:r>
    </w:p>
    <w:p w:rsidR="00BC54F8" w:rsidRPr="00215188" w:rsidRDefault="00BC54F8" w:rsidP="00294F77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47" w:line="250" w:lineRule="auto"/>
        <w:ind w:left="993" w:right="40" w:hanging="567"/>
        <w:jc w:val="both"/>
      </w:pPr>
      <w:r w:rsidRPr="00215188">
        <w:t>liczbę</w:t>
      </w:r>
      <w:r w:rsidRPr="00215188">
        <w:rPr>
          <w:spacing w:val="32"/>
        </w:rPr>
        <w:t xml:space="preserve"> </w:t>
      </w:r>
      <w:r w:rsidRPr="00215188">
        <w:t>oraz</w:t>
      </w:r>
      <w:r w:rsidRPr="00215188">
        <w:rPr>
          <w:spacing w:val="32"/>
        </w:rPr>
        <w:t xml:space="preserve"> </w:t>
      </w:r>
      <w:r w:rsidRPr="00215188">
        <w:t>wartość</w:t>
      </w:r>
      <w:r w:rsidRPr="00215188">
        <w:rPr>
          <w:spacing w:val="32"/>
        </w:rPr>
        <w:t xml:space="preserve"> </w:t>
      </w:r>
      <w:r w:rsidRPr="00215188">
        <w:t>posiadanych</w:t>
      </w:r>
      <w:r w:rsidRPr="00215188">
        <w:rPr>
          <w:spacing w:val="32"/>
        </w:rPr>
        <w:t xml:space="preserve"> </w:t>
      </w:r>
      <w:r w:rsidRPr="00215188">
        <w:t>papierów</w:t>
      </w:r>
      <w:r w:rsidRPr="00215188">
        <w:rPr>
          <w:spacing w:val="32"/>
        </w:rPr>
        <w:t xml:space="preserve"> </w:t>
      </w:r>
      <w:r w:rsidRPr="00215188">
        <w:t>wartościowych,</w:t>
      </w:r>
      <w:r w:rsidRPr="00215188">
        <w:rPr>
          <w:spacing w:val="32"/>
        </w:rPr>
        <w:t xml:space="preserve"> </w:t>
      </w:r>
      <w:r w:rsidRPr="00215188">
        <w:t>w</w:t>
      </w:r>
      <w:r w:rsidRPr="00215188">
        <w:rPr>
          <w:spacing w:val="32"/>
        </w:rPr>
        <w:t xml:space="preserve"> </w:t>
      </w:r>
      <w:r w:rsidRPr="00215188">
        <w:t>tym</w:t>
      </w:r>
      <w:r w:rsidRPr="00215188">
        <w:rPr>
          <w:spacing w:val="32"/>
        </w:rPr>
        <w:t xml:space="preserve"> </w:t>
      </w:r>
      <w:r w:rsidRPr="00215188">
        <w:t>akcji</w:t>
      </w:r>
      <w:r w:rsidRPr="00215188">
        <w:rPr>
          <w:spacing w:val="32"/>
        </w:rPr>
        <w:t xml:space="preserve"> </w:t>
      </w:r>
      <w:r w:rsidRPr="00215188">
        <w:t>i</w:t>
      </w:r>
      <w:r w:rsidR="00294F77" w:rsidRPr="00215188">
        <w:rPr>
          <w:spacing w:val="32"/>
        </w:rPr>
        <w:t> </w:t>
      </w:r>
      <w:r w:rsidRPr="00215188">
        <w:t>udziałów</w:t>
      </w:r>
      <w:r w:rsidRPr="00215188">
        <w:rPr>
          <w:spacing w:val="32"/>
        </w:rPr>
        <w:t xml:space="preserve"> </w:t>
      </w:r>
      <w:r w:rsidRPr="00215188">
        <w:lastRenderedPageBreak/>
        <w:t>oraz</w:t>
      </w:r>
      <w:r w:rsidRPr="00215188">
        <w:rPr>
          <w:spacing w:val="32"/>
        </w:rPr>
        <w:t xml:space="preserve"> </w:t>
      </w:r>
      <w:r w:rsidRPr="00215188">
        <w:t>dłużnych</w:t>
      </w:r>
      <w:r w:rsidRPr="00215188">
        <w:rPr>
          <w:spacing w:val="32"/>
        </w:rPr>
        <w:t xml:space="preserve"> </w:t>
      </w:r>
      <w:r w:rsidRPr="00215188">
        <w:t>papierów wartościowych</w:t>
      </w:r>
      <w:r w:rsidR="00040994" w:rsidRPr="00215188">
        <w:t xml:space="preserve"> </w:t>
      </w:r>
      <w:r w:rsidR="00361380" w:rsidRPr="00215188">
        <w:t xml:space="preserve">– tabela nr 1.6 </w:t>
      </w:r>
      <w:r w:rsidR="008847F6" w:rsidRPr="00215188">
        <w:t>–</w:t>
      </w:r>
      <w:r w:rsidR="00040994" w:rsidRPr="00215188">
        <w:t xml:space="preserve"> </w:t>
      </w:r>
      <w:r w:rsidR="00CD61D9" w:rsidRPr="00215188">
        <w:t>udziały o </w:t>
      </w:r>
      <w:r w:rsidR="00687B37" w:rsidRPr="00215188">
        <w:t xml:space="preserve">wartości </w:t>
      </w:r>
      <w:r w:rsidR="00215188" w:rsidRPr="00215188">
        <w:t xml:space="preserve">389.597.732,21 </w:t>
      </w:r>
      <w:r w:rsidR="008847F6" w:rsidRPr="00215188">
        <w:t xml:space="preserve">zł w spółkach prawa handlowego, w których Gmina Miasto Świnoujście posiada 100% udziałów. Akcje </w:t>
      </w:r>
      <w:r w:rsidR="00687B37" w:rsidRPr="00215188">
        <w:t xml:space="preserve">o wartości </w:t>
      </w:r>
      <w:r w:rsidR="008847F6" w:rsidRPr="00215188">
        <w:t xml:space="preserve"> 24.500 zł (2.4</w:t>
      </w:r>
      <w:r w:rsidR="00835991" w:rsidRPr="00215188">
        <w:t>50 szt. akcji</w:t>
      </w:r>
      <w:r w:rsidR="008847F6" w:rsidRPr="00215188">
        <w:t>).</w:t>
      </w:r>
    </w:p>
    <w:p w:rsidR="00BC54F8" w:rsidRPr="008B593D" w:rsidRDefault="00BC54F8" w:rsidP="00294F77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47" w:line="250" w:lineRule="auto"/>
        <w:ind w:left="993" w:right="40" w:hanging="567"/>
        <w:jc w:val="both"/>
        <w:rPr>
          <w:color w:val="000000" w:themeColor="text1"/>
        </w:rPr>
      </w:pPr>
      <w:r w:rsidRPr="008B593D">
        <w:rPr>
          <w:color w:val="000000" w:themeColor="text1"/>
        </w:rPr>
        <w:t>dane o</w:t>
      </w:r>
      <w:r w:rsidRPr="008B593D">
        <w:rPr>
          <w:color w:val="000000" w:themeColor="text1"/>
          <w:spacing w:val="1"/>
        </w:rPr>
        <w:t xml:space="preserve"> </w:t>
      </w:r>
      <w:r w:rsidRPr="008B593D">
        <w:rPr>
          <w:color w:val="000000" w:themeColor="text1"/>
        </w:rPr>
        <w:t>odpisach</w:t>
      </w:r>
      <w:r w:rsidRPr="008B593D">
        <w:rPr>
          <w:color w:val="000000" w:themeColor="text1"/>
          <w:spacing w:val="1"/>
        </w:rPr>
        <w:t xml:space="preserve"> </w:t>
      </w:r>
      <w:r w:rsidRPr="008B593D">
        <w:rPr>
          <w:color w:val="000000" w:themeColor="text1"/>
        </w:rPr>
        <w:t>aktualizujących wartość należności, ze wskazaniem stanu na początek roku</w:t>
      </w:r>
      <w:r w:rsidRPr="008B593D">
        <w:rPr>
          <w:color w:val="000000" w:themeColor="text1"/>
          <w:spacing w:val="1"/>
        </w:rPr>
        <w:t xml:space="preserve"> </w:t>
      </w:r>
      <w:r w:rsidRPr="008B593D">
        <w:rPr>
          <w:color w:val="000000" w:themeColor="text1"/>
        </w:rPr>
        <w:t>obrotowego, zwiększeniach, wykorzystaniu, rozwiązaniu i stanie na koniec roku obrotowego, z uwzględnieniem należności finansowych jednostek samorządu terytorialnego (</w:t>
      </w:r>
      <w:r w:rsidR="00502AEA" w:rsidRPr="008B593D">
        <w:rPr>
          <w:color w:val="000000" w:themeColor="text1"/>
        </w:rPr>
        <w:t xml:space="preserve">w tym </w:t>
      </w:r>
      <w:r w:rsidRPr="008B593D">
        <w:rPr>
          <w:color w:val="000000" w:themeColor="text1"/>
        </w:rPr>
        <w:t>stan pożyczek zagrożonych)</w:t>
      </w:r>
      <w:r w:rsidR="009F7B33" w:rsidRPr="008B593D">
        <w:rPr>
          <w:color w:val="000000" w:themeColor="text1"/>
        </w:rPr>
        <w:t xml:space="preserve"> </w:t>
      </w:r>
      <w:r w:rsidR="00D01AA3" w:rsidRPr="008B593D">
        <w:rPr>
          <w:color w:val="000000" w:themeColor="text1"/>
        </w:rPr>
        <w:t>–</w:t>
      </w:r>
      <w:r w:rsidR="009F7B33" w:rsidRPr="008B593D">
        <w:rPr>
          <w:color w:val="000000" w:themeColor="text1"/>
        </w:rPr>
        <w:t xml:space="preserve"> </w:t>
      </w:r>
      <w:r w:rsidR="00D01AA3" w:rsidRPr="008B593D">
        <w:rPr>
          <w:color w:val="000000" w:themeColor="text1"/>
        </w:rPr>
        <w:t xml:space="preserve">tabela nr </w:t>
      </w:r>
      <w:r w:rsidR="008206B4" w:rsidRPr="008B593D">
        <w:rPr>
          <w:color w:val="000000" w:themeColor="text1"/>
        </w:rPr>
        <w:t>1.</w:t>
      </w:r>
      <w:r w:rsidR="00D01AA3" w:rsidRPr="008B593D">
        <w:rPr>
          <w:color w:val="000000" w:themeColor="text1"/>
        </w:rPr>
        <w:t>7,</w:t>
      </w:r>
    </w:p>
    <w:p w:rsidR="00C75769" w:rsidRPr="00C15E36" w:rsidRDefault="00C75769" w:rsidP="00294F77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47" w:line="250" w:lineRule="auto"/>
        <w:ind w:left="993" w:right="40" w:hanging="567"/>
        <w:jc w:val="both"/>
      </w:pPr>
      <w:r w:rsidRPr="00C15E36">
        <w:t>dane</w:t>
      </w:r>
      <w:r w:rsidRPr="00C15E36">
        <w:rPr>
          <w:spacing w:val="4"/>
        </w:rPr>
        <w:t xml:space="preserve"> </w:t>
      </w:r>
      <w:r w:rsidRPr="00C15E36">
        <w:t>o</w:t>
      </w:r>
      <w:r w:rsidRPr="00C15E36">
        <w:rPr>
          <w:spacing w:val="4"/>
        </w:rPr>
        <w:t xml:space="preserve"> </w:t>
      </w:r>
      <w:r w:rsidRPr="00C15E36">
        <w:t>stanie</w:t>
      </w:r>
      <w:r w:rsidRPr="00C15E36">
        <w:rPr>
          <w:spacing w:val="4"/>
        </w:rPr>
        <w:t xml:space="preserve"> </w:t>
      </w:r>
      <w:r w:rsidRPr="00C15E36">
        <w:t>rezerw</w:t>
      </w:r>
      <w:r w:rsidRPr="00C15E36">
        <w:rPr>
          <w:spacing w:val="4"/>
        </w:rPr>
        <w:t xml:space="preserve"> </w:t>
      </w:r>
      <w:r w:rsidRPr="00C15E36">
        <w:t>według</w:t>
      </w:r>
      <w:r w:rsidRPr="00C15E36">
        <w:rPr>
          <w:spacing w:val="4"/>
        </w:rPr>
        <w:t xml:space="preserve"> </w:t>
      </w:r>
      <w:r w:rsidRPr="00C15E36">
        <w:t>celu</w:t>
      </w:r>
      <w:r w:rsidRPr="00C15E36">
        <w:rPr>
          <w:spacing w:val="4"/>
        </w:rPr>
        <w:t xml:space="preserve"> </w:t>
      </w:r>
      <w:r w:rsidRPr="00C15E36">
        <w:t>ich</w:t>
      </w:r>
      <w:r w:rsidRPr="00C15E36">
        <w:rPr>
          <w:spacing w:val="4"/>
        </w:rPr>
        <w:t xml:space="preserve"> </w:t>
      </w:r>
      <w:r w:rsidRPr="00C15E36">
        <w:t>utworzenia</w:t>
      </w:r>
      <w:r w:rsidRPr="00C15E36">
        <w:rPr>
          <w:spacing w:val="4"/>
        </w:rPr>
        <w:t xml:space="preserve"> </w:t>
      </w:r>
      <w:r w:rsidRPr="00C15E36">
        <w:t>na</w:t>
      </w:r>
      <w:r w:rsidRPr="00C15E36">
        <w:rPr>
          <w:spacing w:val="4"/>
        </w:rPr>
        <w:t xml:space="preserve"> </w:t>
      </w:r>
      <w:r w:rsidRPr="00C15E36">
        <w:t>początek</w:t>
      </w:r>
      <w:r w:rsidRPr="00C15E36">
        <w:rPr>
          <w:spacing w:val="4"/>
        </w:rPr>
        <w:t xml:space="preserve"> </w:t>
      </w:r>
      <w:r w:rsidRPr="00C15E36">
        <w:t>roku</w:t>
      </w:r>
      <w:r w:rsidRPr="00C15E36">
        <w:rPr>
          <w:spacing w:val="4"/>
        </w:rPr>
        <w:t xml:space="preserve"> </w:t>
      </w:r>
      <w:r w:rsidRPr="00C15E36">
        <w:t>obrotowego,</w:t>
      </w:r>
      <w:r w:rsidRPr="00C15E36">
        <w:rPr>
          <w:spacing w:val="4"/>
        </w:rPr>
        <w:t xml:space="preserve"> </w:t>
      </w:r>
      <w:r w:rsidRPr="00C15E36">
        <w:t>zwiększeniach,</w:t>
      </w:r>
      <w:r w:rsidRPr="00C15E36">
        <w:rPr>
          <w:spacing w:val="4"/>
        </w:rPr>
        <w:t xml:space="preserve"> </w:t>
      </w:r>
      <w:r w:rsidRPr="00C15E36">
        <w:t>wykorzystaniu, rozwiązaniu i stanie końcowym</w:t>
      </w:r>
      <w:r w:rsidR="00247720" w:rsidRPr="00C15E36">
        <w:t xml:space="preserve"> – tabela nr 1.8</w:t>
      </w:r>
      <w:r w:rsidR="00A4505B" w:rsidRPr="00C15E36">
        <w:t>,</w:t>
      </w:r>
    </w:p>
    <w:p w:rsidR="00294F77" w:rsidRPr="0093610F" w:rsidRDefault="00294F77" w:rsidP="00294F77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47" w:line="250" w:lineRule="auto"/>
        <w:ind w:left="993" w:right="40" w:hanging="567"/>
        <w:jc w:val="both"/>
        <w:rPr>
          <w:color w:val="000000" w:themeColor="text1"/>
        </w:rPr>
      </w:pPr>
      <w:r w:rsidRPr="0093610F">
        <w:rPr>
          <w:color w:val="000000" w:themeColor="text1"/>
        </w:rPr>
        <w:t>podział zobowiązań długoterminowych według pozycji bilansu</w:t>
      </w:r>
      <w:r w:rsidRPr="0093610F">
        <w:rPr>
          <w:color w:val="000000" w:themeColor="text1"/>
          <w:spacing w:val="3"/>
        </w:rPr>
        <w:t xml:space="preserve"> </w:t>
      </w:r>
      <w:r w:rsidRPr="0093610F">
        <w:rPr>
          <w:color w:val="000000" w:themeColor="text1"/>
        </w:rPr>
        <w:t>o pozostałym od</w:t>
      </w:r>
      <w:r w:rsidRPr="0093610F">
        <w:rPr>
          <w:color w:val="000000" w:themeColor="text1"/>
          <w:spacing w:val="3"/>
        </w:rPr>
        <w:t> </w:t>
      </w:r>
      <w:r w:rsidRPr="0093610F">
        <w:rPr>
          <w:color w:val="000000" w:themeColor="text1"/>
        </w:rPr>
        <w:t xml:space="preserve">dnia bilansowego, przewidywanym umową lub wynikającym z innego tytułu </w:t>
      </w:r>
      <w:r w:rsidR="009F7B33" w:rsidRPr="0093610F">
        <w:rPr>
          <w:color w:val="000000" w:themeColor="text1"/>
        </w:rPr>
        <w:t xml:space="preserve">prawnego </w:t>
      </w:r>
      <w:r w:rsidR="00247720" w:rsidRPr="0093610F">
        <w:rPr>
          <w:color w:val="000000" w:themeColor="text1"/>
        </w:rPr>
        <w:t>–</w:t>
      </w:r>
      <w:r w:rsidR="009F7B33" w:rsidRPr="0093610F">
        <w:rPr>
          <w:color w:val="000000" w:themeColor="text1"/>
        </w:rPr>
        <w:t xml:space="preserve"> </w:t>
      </w:r>
      <w:r w:rsidR="00247720" w:rsidRPr="0093610F">
        <w:rPr>
          <w:color w:val="000000" w:themeColor="text1"/>
        </w:rPr>
        <w:t>tabela nr 1.9,</w:t>
      </w:r>
    </w:p>
    <w:p w:rsidR="00294F77" w:rsidRPr="0093610F" w:rsidRDefault="00294F77" w:rsidP="00294F77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47" w:line="250" w:lineRule="auto"/>
        <w:ind w:left="993" w:right="40" w:hanging="567"/>
        <w:jc w:val="both"/>
        <w:rPr>
          <w:color w:val="000000" w:themeColor="text1"/>
        </w:rPr>
      </w:pPr>
      <w:r w:rsidRPr="0093610F">
        <w:rPr>
          <w:color w:val="000000" w:themeColor="text1"/>
        </w:rPr>
        <w:t>kwotę</w:t>
      </w:r>
      <w:r w:rsidRPr="0093610F">
        <w:rPr>
          <w:color w:val="000000" w:themeColor="text1"/>
          <w:spacing w:val="1"/>
        </w:rPr>
        <w:t xml:space="preserve"> </w:t>
      </w:r>
      <w:r w:rsidRPr="0093610F">
        <w:rPr>
          <w:color w:val="000000" w:themeColor="text1"/>
        </w:rPr>
        <w:t>zobowiązań</w:t>
      </w:r>
      <w:r w:rsidRPr="0093610F">
        <w:rPr>
          <w:color w:val="000000" w:themeColor="text1"/>
          <w:spacing w:val="1"/>
        </w:rPr>
        <w:t xml:space="preserve"> </w:t>
      </w:r>
      <w:r w:rsidRPr="0093610F">
        <w:rPr>
          <w:color w:val="000000" w:themeColor="text1"/>
        </w:rPr>
        <w:t>w</w:t>
      </w:r>
      <w:r w:rsidRPr="0093610F">
        <w:rPr>
          <w:color w:val="000000" w:themeColor="text1"/>
          <w:spacing w:val="1"/>
        </w:rPr>
        <w:t xml:space="preserve"> </w:t>
      </w:r>
      <w:r w:rsidRPr="0093610F">
        <w:rPr>
          <w:color w:val="000000" w:themeColor="text1"/>
        </w:rPr>
        <w:t>sytuacji</w:t>
      </w:r>
      <w:r w:rsidRPr="0093610F">
        <w:rPr>
          <w:color w:val="000000" w:themeColor="text1"/>
          <w:spacing w:val="1"/>
        </w:rPr>
        <w:t xml:space="preserve"> </w:t>
      </w:r>
      <w:r w:rsidRPr="0093610F">
        <w:rPr>
          <w:color w:val="000000" w:themeColor="text1"/>
        </w:rPr>
        <w:t>gdy</w:t>
      </w:r>
      <w:r w:rsidRPr="0093610F">
        <w:rPr>
          <w:color w:val="000000" w:themeColor="text1"/>
          <w:spacing w:val="1"/>
        </w:rPr>
        <w:t xml:space="preserve"> </w:t>
      </w:r>
      <w:r w:rsidRPr="0093610F">
        <w:rPr>
          <w:color w:val="000000" w:themeColor="text1"/>
        </w:rPr>
        <w:t>jednostka</w:t>
      </w:r>
      <w:r w:rsidRPr="0093610F">
        <w:rPr>
          <w:color w:val="000000" w:themeColor="text1"/>
          <w:spacing w:val="1"/>
        </w:rPr>
        <w:t xml:space="preserve"> </w:t>
      </w:r>
      <w:r w:rsidRPr="0093610F">
        <w:rPr>
          <w:color w:val="000000" w:themeColor="text1"/>
        </w:rPr>
        <w:t>kwalifikuje umowy</w:t>
      </w:r>
      <w:r w:rsidRPr="0093610F">
        <w:rPr>
          <w:color w:val="000000" w:themeColor="text1"/>
          <w:spacing w:val="1"/>
        </w:rPr>
        <w:t xml:space="preserve"> </w:t>
      </w:r>
      <w:r w:rsidRPr="0093610F">
        <w:rPr>
          <w:color w:val="000000" w:themeColor="text1"/>
        </w:rPr>
        <w:t>leasingu</w:t>
      </w:r>
      <w:r w:rsidRPr="0093610F">
        <w:rPr>
          <w:color w:val="000000" w:themeColor="text1"/>
          <w:spacing w:val="1"/>
        </w:rPr>
        <w:t xml:space="preserve"> </w:t>
      </w:r>
      <w:r w:rsidRPr="0093610F">
        <w:rPr>
          <w:color w:val="000000" w:themeColor="text1"/>
        </w:rPr>
        <w:t>zgodnie</w:t>
      </w:r>
      <w:r w:rsidRPr="0093610F">
        <w:rPr>
          <w:color w:val="000000" w:themeColor="text1"/>
          <w:spacing w:val="1"/>
        </w:rPr>
        <w:t xml:space="preserve"> </w:t>
      </w:r>
      <w:r w:rsidRPr="0093610F">
        <w:rPr>
          <w:color w:val="000000" w:themeColor="text1"/>
        </w:rPr>
        <w:t>z</w:t>
      </w:r>
      <w:r w:rsidRPr="0093610F">
        <w:rPr>
          <w:color w:val="000000" w:themeColor="text1"/>
          <w:spacing w:val="1"/>
        </w:rPr>
        <w:t> </w:t>
      </w:r>
      <w:r w:rsidRPr="0093610F">
        <w:rPr>
          <w:color w:val="000000" w:themeColor="text1"/>
        </w:rPr>
        <w:t>przepisami podatkowymi (leasing</w:t>
      </w:r>
      <w:r w:rsidRPr="0093610F">
        <w:rPr>
          <w:color w:val="000000" w:themeColor="text1"/>
          <w:spacing w:val="-2"/>
        </w:rPr>
        <w:t xml:space="preserve"> </w:t>
      </w:r>
      <w:r w:rsidRPr="0093610F">
        <w:rPr>
          <w:color w:val="000000" w:themeColor="text1"/>
        </w:rPr>
        <w:t>operacyjny),</w:t>
      </w:r>
      <w:r w:rsidRPr="0093610F">
        <w:rPr>
          <w:color w:val="000000" w:themeColor="text1"/>
          <w:spacing w:val="-2"/>
        </w:rPr>
        <w:t xml:space="preserve"> </w:t>
      </w:r>
      <w:r w:rsidRPr="0093610F">
        <w:rPr>
          <w:color w:val="000000" w:themeColor="text1"/>
        </w:rPr>
        <w:t>a</w:t>
      </w:r>
      <w:r w:rsidRPr="0093610F">
        <w:rPr>
          <w:color w:val="000000" w:themeColor="text1"/>
          <w:spacing w:val="-2"/>
        </w:rPr>
        <w:t xml:space="preserve"> </w:t>
      </w:r>
      <w:r w:rsidRPr="0093610F">
        <w:rPr>
          <w:color w:val="000000" w:themeColor="text1"/>
        </w:rPr>
        <w:t>według</w:t>
      </w:r>
      <w:r w:rsidRPr="0093610F">
        <w:rPr>
          <w:color w:val="000000" w:themeColor="text1"/>
          <w:spacing w:val="-2"/>
        </w:rPr>
        <w:t xml:space="preserve"> </w:t>
      </w:r>
      <w:r w:rsidRPr="0093610F">
        <w:rPr>
          <w:color w:val="000000" w:themeColor="text1"/>
        </w:rPr>
        <w:t>przepisów</w:t>
      </w:r>
      <w:r w:rsidRPr="0093610F">
        <w:rPr>
          <w:color w:val="000000" w:themeColor="text1"/>
          <w:spacing w:val="-2"/>
        </w:rPr>
        <w:t xml:space="preserve"> </w:t>
      </w:r>
      <w:r w:rsidRPr="0093610F">
        <w:rPr>
          <w:color w:val="000000" w:themeColor="text1"/>
        </w:rPr>
        <w:t>o</w:t>
      </w:r>
      <w:r w:rsidRPr="0093610F">
        <w:rPr>
          <w:color w:val="000000" w:themeColor="text1"/>
          <w:spacing w:val="-2"/>
        </w:rPr>
        <w:t> </w:t>
      </w:r>
      <w:r w:rsidRPr="0093610F">
        <w:rPr>
          <w:color w:val="000000" w:themeColor="text1"/>
        </w:rPr>
        <w:t>rachunkowości</w:t>
      </w:r>
      <w:r w:rsidRPr="0093610F">
        <w:rPr>
          <w:color w:val="000000" w:themeColor="text1"/>
          <w:spacing w:val="-2"/>
        </w:rPr>
        <w:t xml:space="preserve"> </w:t>
      </w:r>
      <w:r w:rsidRPr="0093610F">
        <w:rPr>
          <w:color w:val="000000" w:themeColor="text1"/>
        </w:rPr>
        <w:t>byłby</w:t>
      </w:r>
      <w:r w:rsidRPr="0093610F">
        <w:rPr>
          <w:color w:val="000000" w:themeColor="text1"/>
          <w:spacing w:val="-2"/>
        </w:rPr>
        <w:t xml:space="preserve"> </w:t>
      </w:r>
      <w:r w:rsidRPr="0093610F">
        <w:rPr>
          <w:color w:val="000000" w:themeColor="text1"/>
        </w:rPr>
        <w:t>to</w:t>
      </w:r>
      <w:r w:rsidRPr="0093610F">
        <w:rPr>
          <w:color w:val="000000" w:themeColor="text1"/>
          <w:spacing w:val="-2"/>
        </w:rPr>
        <w:t xml:space="preserve"> </w:t>
      </w:r>
      <w:r w:rsidRPr="0093610F">
        <w:rPr>
          <w:color w:val="000000" w:themeColor="text1"/>
        </w:rPr>
        <w:t>leasing</w:t>
      </w:r>
      <w:r w:rsidRPr="0093610F">
        <w:rPr>
          <w:color w:val="000000" w:themeColor="text1"/>
          <w:spacing w:val="-2"/>
        </w:rPr>
        <w:t xml:space="preserve"> </w:t>
      </w:r>
      <w:r w:rsidRPr="0093610F">
        <w:rPr>
          <w:color w:val="000000" w:themeColor="text1"/>
        </w:rPr>
        <w:t>finansowy</w:t>
      </w:r>
      <w:r w:rsidRPr="0093610F">
        <w:rPr>
          <w:color w:val="000000" w:themeColor="text1"/>
          <w:spacing w:val="-2"/>
        </w:rPr>
        <w:t xml:space="preserve"> </w:t>
      </w:r>
      <w:r w:rsidRPr="0093610F">
        <w:rPr>
          <w:color w:val="000000" w:themeColor="text1"/>
        </w:rPr>
        <w:t>lub</w:t>
      </w:r>
      <w:r w:rsidRPr="0093610F">
        <w:rPr>
          <w:color w:val="000000" w:themeColor="text1"/>
          <w:spacing w:val="-2"/>
        </w:rPr>
        <w:t xml:space="preserve"> </w:t>
      </w:r>
      <w:r w:rsidRPr="0093610F">
        <w:rPr>
          <w:color w:val="000000" w:themeColor="text1"/>
        </w:rPr>
        <w:t>zwrotny</w:t>
      </w:r>
      <w:r w:rsidRPr="0093610F">
        <w:rPr>
          <w:color w:val="000000" w:themeColor="text1"/>
          <w:spacing w:val="-2"/>
        </w:rPr>
        <w:t xml:space="preserve"> </w:t>
      </w:r>
      <w:r w:rsidRPr="0093610F">
        <w:rPr>
          <w:color w:val="000000" w:themeColor="text1"/>
        </w:rPr>
        <w:t>z</w:t>
      </w:r>
      <w:r w:rsidRPr="0093610F">
        <w:rPr>
          <w:color w:val="000000" w:themeColor="text1"/>
          <w:spacing w:val="-2"/>
        </w:rPr>
        <w:t xml:space="preserve"> </w:t>
      </w:r>
      <w:r w:rsidRPr="0093610F">
        <w:rPr>
          <w:color w:val="000000" w:themeColor="text1"/>
        </w:rPr>
        <w:t>podziałem na kwotę zobowiązań z tytułu leasingu finansowego lub leasingu zwrotnego</w:t>
      </w:r>
      <w:r w:rsidR="00005AB5" w:rsidRPr="0093610F">
        <w:rPr>
          <w:color w:val="000000" w:themeColor="text1"/>
        </w:rPr>
        <w:t xml:space="preserve"> </w:t>
      </w:r>
      <w:r w:rsidR="00247720" w:rsidRPr="0093610F">
        <w:rPr>
          <w:color w:val="000000" w:themeColor="text1"/>
        </w:rPr>
        <w:t>–</w:t>
      </w:r>
      <w:r w:rsidR="00005AB5" w:rsidRPr="0093610F">
        <w:rPr>
          <w:color w:val="000000" w:themeColor="text1"/>
        </w:rPr>
        <w:t xml:space="preserve"> </w:t>
      </w:r>
      <w:r w:rsidR="00247720" w:rsidRPr="0093610F">
        <w:rPr>
          <w:color w:val="000000" w:themeColor="text1"/>
        </w:rPr>
        <w:t xml:space="preserve">tabela nr </w:t>
      </w:r>
      <w:r w:rsidR="003103A7" w:rsidRPr="0093610F">
        <w:rPr>
          <w:color w:val="000000" w:themeColor="text1"/>
        </w:rPr>
        <w:t>1.</w:t>
      </w:r>
      <w:r w:rsidR="0093610F" w:rsidRPr="0093610F">
        <w:rPr>
          <w:color w:val="000000" w:themeColor="text1"/>
        </w:rPr>
        <w:t>10,</w:t>
      </w:r>
    </w:p>
    <w:p w:rsidR="00626796" w:rsidRPr="0093610F" w:rsidRDefault="00626796" w:rsidP="00294F77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47" w:line="250" w:lineRule="auto"/>
        <w:ind w:left="993" w:right="40" w:hanging="567"/>
        <w:jc w:val="both"/>
        <w:rPr>
          <w:color w:val="000000" w:themeColor="text1"/>
        </w:rPr>
      </w:pPr>
      <w:r w:rsidRPr="0093610F">
        <w:rPr>
          <w:color w:val="000000" w:themeColor="text1"/>
        </w:rPr>
        <w:t>łączną</w:t>
      </w:r>
      <w:r w:rsidRPr="0093610F">
        <w:rPr>
          <w:color w:val="000000" w:themeColor="text1"/>
          <w:spacing w:val="48"/>
        </w:rPr>
        <w:t xml:space="preserve"> </w:t>
      </w:r>
      <w:r w:rsidRPr="0093610F">
        <w:rPr>
          <w:color w:val="000000" w:themeColor="text1"/>
        </w:rPr>
        <w:t>kwotę</w:t>
      </w:r>
      <w:r w:rsidRPr="0093610F">
        <w:rPr>
          <w:color w:val="000000" w:themeColor="text1"/>
          <w:spacing w:val="48"/>
        </w:rPr>
        <w:t xml:space="preserve"> </w:t>
      </w:r>
      <w:r w:rsidRPr="0093610F">
        <w:rPr>
          <w:color w:val="000000" w:themeColor="text1"/>
        </w:rPr>
        <w:t>zobowiązań</w:t>
      </w:r>
      <w:r w:rsidRPr="0093610F">
        <w:rPr>
          <w:color w:val="000000" w:themeColor="text1"/>
          <w:spacing w:val="48"/>
        </w:rPr>
        <w:t xml:space="preserve"> </w:t>
      </w:r>
      <w:r w:rsidRPr="0093610F">
        <w:rPr>
          <w:color w:val="000000" w:themeColor="text1"/>
        </w:rPr>
        <w:t>zabezpieczonych</w:t>
      </w:r>
      <w:r w:rsidRPr="0093610F">
        <w:rPr>
          <w:color w:val="000000" w:themeColor="text1"/>
          <w:spacing w:val="48"/>
        </w:rPr>
        <w:t xml:space="preserve"> </w:t>
      </w:r>
      <w:r w:rsidRPr="0093610F">
        <w:rPr>
          <w:color w:val="000000" w:themeColor="text1"/>
        </w:rPr>
        <w:t>na</w:t>
      </w:r>
      <w:r w:rsidRPr="0093610F">
        <w:rPr>
          <w:color w:val="000000" w:themeColor="text1"/>
          <w:spacing w:val="48"/>
        </w:rPr>
        <w:t xml:space="preserve"> </w:t>
      </w:r>
      <w:r w:rsidRPr="0093610F">
        <w:rPr>
          <w:color w:val="000000" w:themeColor="text1"/>
        </w:rPr>
        <w:t>majątku</w:t>
      </w:r>
      <w:r w:rsidRPr="0093610F">
        <w:rPr>
          <w:color w:val="000000" w:themeColor="text1"/>
          <w:spacing w:val="48"/>
        </w:rPr>
        <w:t xml:space="preserve"> </w:t>
      </w:r>
      <w:r w:rsidRPr="0093610F">
        <w:rPr>
          <w:color w:val="000000" w:themeColor="text1"/>
        </w:rPr>
        <w:t>jednostki</w:t>
      </w:r>
      <w:r w:rsidRPr="0093610F">
        <w:rPr>
          <w:color w:val="000000" w:themeColor="text1"/>
          <w:spacing w:val="48"/>
        </w:rPr>
        <w:t xml:space="preserve"> </w:t>
      </w:r>
      <w:r w:rsidRPr="0093610F">
        <w:rPr>
          <w:color w:val="000000" w:themeColor="text1"/>
        </w:rPr>
        <w:t>ze</w:t>
      </w:r>
      <w:r w:rsidRPr="0093610F">
        <w:rPr>
          <w:color w:val="000000" w:themeColor="text1"/>
          <w:spacing w:val="48"/>
        </w:rPr>
        <w:t xml:space="preserve"> </w:t>
      </w:r>
      <w:r w:rsidRPr="0093610F">
        <w:rPr>
          <w:color w:val="000000" w:themeColor="text1"/>
        </w:rPr>
        <w:t>wskazaniem</w:t>
      </w:r>
      <w:r w:rsidRPr="0093610F">
        <w:rPr>
          <w:color w:val="000000" w:themeColor="text1"/>
          <w:spacing w:val="48"/>
        </w:rPr>
        <w:t xml:space="preserve"> </w:t>
      </w:r>
      <w:r w:rsidRPr="0093610F">
        <w:rPr>
          <w:color w:val="000000" w:themeColor="text1"/>
        </w:rPr>
        <w:t>charakteru</w:t>
      </w:r>
      <w:r w:rsidRPr="0093610F">
        <w:rPr>
          <w:color w:val="000000" w:themeColor="text1"/>
          <w:spacing w:val="48"/>
        </w:rPr>
        <w:t xml:space="preserve"> </w:t>
      </w:r>
      <w:r w:rsidRPr="0093610F">
        <w:rPr>
          <w:color w:val="000000" w:themeColor="text1"/>
        </w:rPr>
        <w:t>i</w:t>
      </w:r>
      <w:r w:rsidRPr="0093610F">
        <w:rPr>
          <w:color w:val="000000" w:themeColor="text1"/>
          <w:spacing w:val="48"/>
        </w:rPr>
        <w:t xml:space="preserve"> </w:t>
      </w:r>
      <w:r w:rsidRPr="0093610F">
        <w:rPr>
          <w:color w:val="000000" w:themeColor="text1"/>
        </w:rPr>
        <w:t>formy</w:t>
      </w:r>
      <w:r w:rsidRPr="0093610F">
        <w:rPr>
          <w:color w:val="000000" w:themeColor="text1"/>
          <w:spacing w:val="48"/>
        </w:rPr>
        <w:t xml:space="preserve"> </w:t>
      </w:r>
      <w:r w:rsidRPr="0093610F">
        <w:rPr>
          <w:color w:val="000000" w:themeColor="text1"/>
        </w:rPr>
        <w:t>tych zabezpieczeń</w:t>
      </w:r>
      <w:r w:rsidR="00005AB5" w:rsidRPr="0093610F">
        <w:rPr>
          <w:color w:val="000000" w:themeColor="text1"/>
        </w:rPr>
        <w:t xml:space="preserve"> </w:t>
      </w:r>
      <w:r w:rsidR="00247720" w:rsidRPr="0093610F">
        <w:rPr>
          <w:color w:val="000000" w:themeColor="text1"/>
        </w:rPr>
        <w:t>–</w:t>
      </w:r>
      <w:r w:rsidR="00005AB5" w:rsidRPr="0093610F">
        <w:rPr>
          <w:color w:val="000000" w:themeColor="text1"/>
        </w:rPr>
        <w:t xml:space="preserve"> </w:t>
      </w:r>
      <w:r w:rsidR="00247720" w:rsidRPr="0093610F">
        <w:rPr>
          <w:color w:val="000000" w:themeColor="text1"/>
        </w:rPr>
        <w:t>tabela nr 1.11</w:t>
      </w:r>
      <w:r w:rsidR="0093610F">
        <w:rPr>
          <w:color w:val="000000" w:themeColor="text1"/>
        </w:rPr>
        <w:t>,</w:t>
      </w:r>
    </w:p>
    <w:p w:rsidR="00CC30E9" w:rsidRPr="004F2F99" w:rsidRDefault="00626796" w:rsidP="005301F2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47" w:line="250" w:lineRule="auto"/>
        <w:ind w:left="993" w:right="40" w:hanging="567"/>
        <w:jc w:val="both"/>
      </w:pPr>
      <w:r w:rsidRPr="004F2F99">
        <w:t>łączną kwotę zobowiązań warunkowych, w tym również udzielonych przez jednostkę gwarancji i poręczeń, także wekslowych, niewykazanych w</w:t>
      </w:r>
      <w:r w:rsidRPr="004F2F99">
        <w:rPr>
          <w:spacing w:val="1"/>
        </w:rPr>
        <w:t xml:space="preserve"> </w:t>
      </w:r>
      <w:r w:rsidR="00C94A19" w:rsidRPr="004F2F99">
        <w:t>bilansie, ze </w:t>
      </w:r>
      <w:r w:rsidRPr="004F2F99">
        <w:t>wskazaniem zobowiązań zabezpieczonych na mają</w:t>
      </w:r>
      <w:r w:rsidR="00C94A19" w:rsidRPr="004F2F99">
        <w:t>tku jednostki oraz charakteru i </w:t>
      </w:r>
      <w:r w:rsidRPr="004F2F99">
        <w:t>formy tych zabezpieczeń</w:t>
      </w:r>
      <w:r w:rsidR="003103A7" w:rsidRPr="004F2F99">
        <w:t xml:space="preserve"> – tabela nr 1.12</w:t>
      </w:r>
      <w:r w:rsidR="00CC30E9" w:rsidRPr="004F2F99">
        <w:t>:</w:t>
      </w:r>
      <w:r w:rsidR="009F003B" w:rsidRPr="004F2F99">
        <w:t xml:space="preserve"> </w:t>
      </w:r>
      <w:r w:rsidR="00CC30E9" w:rsidRPr="004F2F99">
        <w:t>-</w:t>
      </w:r>
      <w:r w:rsidR="00005AB5" w:rsidRPr="004F2F99">
        <w:t xml:space="preserve"> </w:t>
      </w:r>
      <w:r w:rsidR="00CC30E9" w:rsidRPr="004F2F99">
        <w:t xml:space="preserve">poręczenia na łączną kwotę </w:t>
      </w:r>
      <w:r w:rsidR="004F2F99" w:rsidRPr="004F2F99">
        <w:t>7.432.452,12</w:t>
      </w:r>
      <w:r w:rsidR="00CC30E9" w:rsidRPr="004F2F99">
        <w:t xml:space="preserve"> zł</w:t>
      </w:r>
      <w:r w:rsidR="009F003B" w:rsidRPr="004F2F99">
        <w:t xml:space="preserve"> w tym:</w:t>
      </w:r>
    </w:p>
    <w:p w:rsidR="009F003B" w:rsidRPr="00215188" w:rsidRDefault="009F003B" w:rsidP="009F003B">
      <w:pPr>
        <w:pStyle w:val="Akapitzlist"/>
        <w:widowControl w:val="0"/>
        <w:autoSpaceDE w:val="0"/>
        <w:autoSpaceDN w:val="0"/>
        <w:adjustRightInd w:val="0"/>
        <w:spacing w:before="47" w:line="250" w:lineRule="auto"/>
        <w:ind w:left="1418" w:right="40" w:hanging="425"/>
        <w:jc w:val="both"/>
      </w:pPr>
      <w:r w:rsidRPr="004F2F99">
        <w:t>1. Samodzielny Publiczny Zakład Opieki Zdrowotnej Zakład Pielęgnacyjno-</w:t>
      </w:r>
      <w:r w:rsidRPr="00215188">
        <w:t xml:space="preserve">Opiekuńczy – 490.000,00 zł, </w:t>
      </w:r>
    </w:p>
    <w:p w:rsidR="009F003B" w:rsidRPr="000D1B25" w:rsidRDefault="009F003B" w:rsidP="00CC30E9">
      <w:pPr>
        <w:pStyle w:val="Akapitzlist"/>
        <w:widowControl w:val="0"/>
        <w:autoSpaceDE w:val="0"/>
        <w:autoSpaceDN w:val="0"/>
        <w:adjustRightInd w:val="0"/>
        <w:spacing w:before="47" w:line="250" w:lineRule="auto"/>
        <w:ind w:left="993" w:right="40"/>
        <w:jc w:val="both"/>
      </w:pPr>
      <w:r w:rsidRPr="000D1B25">
        <w:t>2.</w:t>
      </w:r>
      <w:r w:rsidRPr="000D1B25">
        <w:tab/>
        <w:t xml:space="preserve">Przedsiębiorstwo Energetyki Cieplnej Sp. z o.o. – </w:t>
      </w:r>
      <w:r w:rsidR="000D1B25" w:rsidRPr="000D1B25">
        <w:t>653.608,00</w:t>
      </w:r>
      <w:r w:rsidRPr="000D1B25">
        <w:t xml:space="preserve"> zł,</w:t>
      </w:r>
    </w:p>
    <w:p w:rsidR="009F003B" w:rsidRPr="000D1B25" w:rsidRDefault="009F003B" w:rsidP="00CC30E9">
      <w:pPr>
        <w:pStyle w:val="Akapitzlist"/>
        <w:widowControl w:val="0"/>
        <w:autoSpaceDE w:val="0"/>
        <w:autoSpaceDN w:val="0"/>
        <w:adjustRightInd w:val="0"/>
        <w:spacing w:before="47" w:line="250" w:lineRule="auto"/>
        <w:ind w:left="993" w:right="40"/>
        <w:jc w:val="both"/>
      </w:pPr>
      <w:r w:rsidRPr="000D1B25">
        <w:t>3.</w:t>
      </w:r>
      <w:r w:rsidRPr="000D1B25">
        <w:tab/>
        <w:t xml:space="preserve">Zakład Wodociągów i Kanalizacji Sp. z o.o. – </w:t>
      </w:r>
      <w:r w:rsidR="000D1B25" w:rsidRPr="000D1B25">
        <w:t>265.680,00</w:t>
      </w:r>
      <w:r w:rsidRPr="000D1B25">
        <w:t xml:space="preserve"> zł,</w:t>
      </w:r>
    </w:p>
    <w:p w:rsidR="009F003B" w:rsidRPr="000D1B25" w:rsidRDefault="009F003B" w:rsidP="00CC30E9">
      <w:pPr>
        <w:pStyle w:val="Akapitzlist"/>
        <w:widowControl w:val="0"/>
        <w:autoSpaceDE w:val="0"/>
        <w:autoSpaceDN w:val="0"/>
        <w:adjustRightInd w:val="0"/>
        <w:spacing w:before="47" w:line="250" w:lineRule="auto"/>
        <w:ind w:left="993" w:right="40"/>
        <w:jc w:val="both"/>
      </w:pPr>
      <w:r w:rsidRPr="000D1B25">
        <w:t>4.</w:t>
      </w:r>
      <w:r w:rsidRPr="000D1B25">
        <w:tab/>
        <w:t xml:space="preserve">Komunikacja Autobusowa” Sp. z o.o. – </w:t>
      </w:r>
      <w:r w:rsidR="000D1B25">
        <w:t>265.</w:t>
      </w:r>
      <w:r w:rsidR="004F2F99">
        <w:t>625</w:t>
      </w:r>
      <w:r w:rsidRPr="000D1B25">
        <w:t xml:space="preserve"> zł.</w:t>
      </w:r>
    </w:p>
    <w:p w:rsidR="00215188" w:rsidRPr="004F2F99" w:rsidRDefault="00215188" w:rsidP="00CC30E9">
      <w:pPr>
        <w:pStyle w:val="Akapitzlist"/>
        <w:widowControl w:val="0"/>
        <w:autoSpaceDE w:val="0"/>
        <w:autoSpaceDN w:val="0"/>
        <w:adjustRightInd w:val="0"/>
        <w:spacing w:before="47" w:line="250" w:lineRule="auto"/>
        <w:ind w:left="993" w:right="40"/>
        <w:jc w:val="both"/>
      </w:pPr>
      <w:r w:rsidRPr="004F2F99">
        <w:t xml:space="preserve">5.    TBS LOKUM Sp. z o.o. </w:t>
      </w:r>
      <w:r w:rsidR="004F2F99" w:rsidRPr="004F2F99">
        <w:t>–</w:t>
      </w:r>
      <w:r w:rsidRPr="004F2F99">
        <w:t xml:space="preserve"> </w:t>
      </w:r>
      <w:r w:rsidR="004F2F99" w:rsidRPr="004F2F99">
        <w:t>5.757.539,12</w:t>
      </w:r>
    </w:p>
    <w:p w:rsidR="00626796" w:rsidRPr="0093610F" w:rsidRDefault="00626796" w:rsidP="00294F77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47" w:line="250" w:lineRule="auto"/>
        <w:ind w:left="993" w:right="40" w:hanging="567"/>
        <w:jc w:val="both"/>
        <w:rPr>
          <w:color w:val="000000" w:themeColor="text1"/>
        </w:rPr>
      </w:pPr>
      <w:r w:rsidRPr="0093610F">
        <w:rPr>
          <w:color w:val="000000" w:themeColor="text1"/>
        </w:rPr>
        <w:t>wykaz istotnych pozycji czynnych i biernych rozliczeń międzyokresowych, w tym kwotę czynnych rozliczeń międzyokresowych kosztów stanowiących różnicę między wartością otrzymanych finansowych skł</w:t>
      </w:r>
      <w:r w:rsidR="00C94A19" w:rsidRPr="0093610F">
        <w:rPr>
          <w:color w:val="000000" w:themeColor="text1"/>
        </w:rPr>
        <w:t>adników aktywów, a </w:t>
      </w:r>
      <w:r w:rsidRPr="0093610F">
        <w:rPr>
          <w:color w:val="000000" w:themeColor="text1"/>
        </w:rPr>
        <w:t>zobowiązaniem zapłaty za nie</w:t>
      </w:r>
      <w:r w:rsidR="00005AB5" w:rsidRPr="0093610F">
        <w:rPr>
          <w:color w:val="000000" w:themeColor="text1"/>
        </w:rPr>
        <w:t xml:space="preserve"> </w:t>
      </w:r>
      <w:r w:rsidR="003103A7" w:rsidRPr="0093610F">
        <w:rPr>
          <w:color w:val="000000" w:themeColor="text1"/>
        </w:rPr>
        <w:t>–</w:t>
      </w:r>
      <w:r w:rsidR="00005AB5" w:rsidRPr="0093610F">
        <w:rPr>
          <w:color w:val="000000" w:themeColor="text1"/>
        </w:rPr>
        <w:t xml:space="preserve"> </w:t>
      </w:r>
      <w:r w:rsidR="003103A7" w:rsidRPr="0093610F">
        <w:rPr>
          <w:color w:val="000000" w:themeColor="text1"/>
        </w:rPr>
        <w:t>tabela nr 1.13</w:t>
      </w:r>
      <w:r w:rsidR="00D97309" w:rsidRPr="0093610F">
        <w:rPr>
          <w:color w:val="000000" w:themeColor="text1"/>
        </w:rPr>
        <w:t>.1 i 1.13.2</w:t>
      </w:r>
      <w:r w:rsidR="003103A7" w:rsidRPr="0093610F">
        <w:rPr>
          <w:color w:val="000000" w:themeColor="text1"/>
        </w:rPr>
        <w:t>,</w:t>
      </w:r>
    </w:p>
    <w:p w:rsidR="00626796" w:rsidRPr="00A4505B" w:rsidRDefault="00626796" w:rsidP="00294F77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47" w:line="250" w:lineRule="auto"/>
        <w:ind w:left="993" w:right="40" w:hanging="567"/>
        <w:jc w:val="both"/>
      </w:pPr>
      <w:r w:rsidRPr="00A4505B">
        <w:t>łączną kwotę otrzymanych przez jednostkę gwara</w:t>
      </w:r>
      <w:r w:rsidR="00C94A19" w:rsidRPr="00A4505B">
        <w:t>ncji i poręczeń niewykazanych w </w:t>
      </w:r>
      <w:r w:rsidRPr="00A4505B">
        <w:t>bilansie</w:t>
      </w:r>
      <w:r w:rsidR="003103A7" w:rsidRPr="00A4505B">
        <w:t xml:space="preserve"> – tabela nr 1.14</w:t>
      </w:r>
      <w:r w:rsidR="00472504" w:rsidRPr="00A4505B">
        <w:t>:</w:t>
      </w:r>
    </w:p>
    <w:p w:rsidR="00472504" w:rsidRPr="00A4505B" w:rsidRDefault="00472504" w:rsidP="00472504">
      <w:pPr>
        <w:pStyle w:val="Akapitzlist"/>
        <w:widowControl w:val="0"/>
        <w:autoSpaceDE w:val="0"/>
        <w:autoSpaceDN w:val="0"/>
        <w:adjustRightInd w:val="0"/>
        <w:spacing w:before="47" w:line="250" w:lineRule="auto"/>
        <w:ind w:left="993" w:right="40"/>
        <w:jc w:val="both"/>
      </w:pPr>
      <w:r w:rsidRPr="00A4505B">
        <w:t xml:space="preserve">- Ośrodek Sportu i Rekreacji „Wyspiarz” – </w:t>
      </w:r>
      <w:r w:rsidR="00A4505B" w:rsidRPr="00A4505B">
        <w:t>86.407,32</w:t>
      </w:r>
      <w:r w:rsidRPr="00A4505B">
        <w:t xml:space="preserve"> zł,</w:t>
      </w:r>
    </w:p>
    <w:p w:rsidR="00626796" w:rsidRPr="00E43378" w:rsidRDefault="00626796" w:rsidP="00490B20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before="47" w:line="250" w:lineRule="auto"/>
        <w:ind w:left="993" w:right="-142" w:hanging="567"/>
        <w:jc w:val="both"/>
        <w:rPr>
          <w:color w:val="000000" w:themeColor="text1"/>
        </w:rPr>
      </w:pPr>
      <w:r w:rsidRPr="00E43378">
        <w:rPr>
          <w:color w:val="000000" w:themeColor="text1"/>
        </w:rPr>
        <w:t>kwotę wypłaconych środków pieniężnych na świadczenia pracownicze</w:t>
      </w:r>
      <w:r w:rsidR="00005AB5" w:rsidRPr="00E43378">
        <w:rPr>
          <w:color w:val="000000" w:themeColor="text1"/>
        </w:rPr>
        <w:t xml:space="preserve"> </w:t>
      </w:r>
      <w:r w:rsidR="003103A7" w:rsidRPr="00E43378">
        <w:rPr>
          <w:color w:val="000000" w:themeColor="text1"/>
        </w:rPr>
        <w:t>–</w:t>
      </w:r>
      <w:r w:rsidR="00005AB5" w:rsidRPr="00E43378">
        <w:rPr>
          <w:color w:val="000000" w:themeColor="text1"/>
        </w:rPr>
        <w:t xml:space="preserve"> </w:t>
      </w:r>
      <w:r w:rsidR="00490B20">
        <w:rPr>
          <w:color w:val="000000" w:themeColor="text1"/>
        </w:rPr>
        <w:t>tab.</w:t>
      </w:r>
      <w:r w:rsidR="003103A7" w:rsidRPr="00E43378">
        <w:rPr>
          <w:color w:val="000000" w:themeColor="text1"/>
        </w:rPr>
        <w:t xml:space="preserve"> nr 1.15</w:t>
      </w:r>
    </w:p>
    <w:p w:rsidR="006A0859" w:rsidRPr="00E43378" w:rsidRDefault="006A0859" w:rsidP="006A0859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47" w:line="250" w:lineRule="auto"/>
        <w:ind w:right="40"/>
        <w:jc w:val="both"/>
        <w:rPr>
          <w:color w:val="000000" w:themeColor="text1"/>
        </w:rPr>
      </w:pPr>
      <w:r w:rsidRPr="00E43378">
        <w:rPr>
          <w:color w:val="000000" w:themeColor="text1"/>
        </w:rPr>
        <w:t>wysokość odpisów aktualizujących wartość zapasów – tabela nr 2.1</w:t>
      </w:r>
    </w:p>
    <w:p w:rsidR="006A0859" w:rsidRPr="00E43378" w:rsidRDefault="006A0859" w:rsidP="006A0859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47" w:line="250" w:lineRule="auto"/>
        <w:ind w:right="40"/>
        <w:jc w:val="both"/>
        <w:rPr>
          <w:color w:val="000000" w:themeColor="text1"/>
        </w:rPr>
      </w:pPr>
      <w:r w:rsidRPr="00E43378">
        <w:rPr>
          <w:color w:val="000000" w:themeColor="text1"/>
        </w:rPr>
        <w:t>koszt wytworzenia środków trwałych w budowie, w tym odsetki oraz różnice kursowe, które powiększyły koszt wytworzenia środków trwałych w budowie w roku obrotowym – tabela nr 2.2</w:t>
      </w:r>
    </w:p>
    <w:p w:rsidR="006A0859" w:rsidRPr="00E43378" w:rsidRDefault="006A0859" w:rsidP="006A0859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47" w:line="250" w:lineRule="auto"/>
        <w:ind w:right="40"/>
        <w:jc w:val="both"/>
        <w:rPr>
          <w:color w:val="000000" w:themeColor="text1"/>
        </w:rPr>
      </w:pPr>
      <w:r w:rsidRPr="00E43378">
        <w:rPr>
          <w:color w:val="000000" w:themeColor="text1"/>
        </w:rPr>
        <w:t>kwotę</w:t>
      </w:r>
      <w:r w:rsidRPr="00E43378">
        <w:rPr>
          <w:color w:val="000000" w:themeColor="text1"/>
          <w:spacing w:val="-12"/>
        </w:rPr>
        <w:t xml:space="preserve"> </w:t>
      </w:r>
      <w:r w:rsidRPr="00E43378">
        <w:rPr>
          <w:color w:val="000000" w:themeColor="text1"/>
        </w:rPr>
        <w:t>i</w:t>
      </w:r>
      <w:r w:rsidRPr="00E43378">
        <w:rPr>
          <w:color w:val="000000" w:themeColor="text1"/>
          <w:spacing w:val="-12"/>
        </w:rPr>
        <w:t xml:space="preserve"> </w:t>
      </w:r>
      <w:r w:rsidRPr="00E43378">
        <w:rPr>
          <w:color w:val="000000" w:themeColor="text1"/>
        </w:rPr>
        <w:t>charakter</w:t>
      </w:r>
      <w:r w:rsidRPr="00E43378">
        <w:rPr>
          <w:color w:val="000000" w:themeColor="text1"/>
          <w:spacing w:val="-12"/>
        </w:rPr>
        <w:t xml:space="preserve"> </w:t>
      </w:r>
      <w:r w:rsidRPr="00E43378">
        <w:rPr>
          <w:color w:val="000000" w:themeColor="text1"/>
        </w:rPr>
        <w:t>poszczególnych</w:t>
      </w:r>
      <w:r w:rsidRPr="00E43378">
        <w:rPr>
          <w:color w:val="000000" w:themeColor="text1"/>
          <w:spacing w:val="-12"/>
        </w:rPr>
        <w:t xml:space="preserve"> </w:t>
      </w:r>
      <w:r w:rsidRPr="00E43378">
        <w:rPr>
          <w:color w:val="000000" w:themeColor="text1"/>
        </w:rPr>
        <w:t>pozycji</w:t>
      </w:r>
      <w:r w:rsidRPr="00E43378">
        <w:rPr>
          <w:color w:val="000000" w:themeColor="text1"/>
          <w:spacing w:val="-12"/>
        </w:rPr>
        <w:t xml:space="preserve"> </w:t>
      </w:r>
      <w:r w:rsidRPr="00E43378">
        <w:rPr>
          <w:color w:val="000000" w:themeColor="text1"/>
        </w:rPr>
        <w:t>przychodów</w:t>
      </w:r>
      <w:r w:rsidRPr="00E43378">
        <w:rPr>
          <w:color w:val="000000" w:themeColor="text1"/>
          <w:spacing w:val="-12"/>
        </w:rPr>
        <w:t xml:space="preserve"> </w:t>
      </w:r>
      <w:r w:rsidRPr="00E43378">
        <w:rPr>
          <w:color w:val="000000" w:themeColor="text1"/>
        </w:rPr>
        <w:t>lub</w:t>
      </w:r>
      <w:r w:rsidRPr="00E43378">
        <w:rPr>
          <w:color w:val="000000" w:themeColor="text1"/>
          <w:spacing w:val="-12"/>
        </w:rPr>
        <w:t xml:space="preserve"> </w:t>
      </w:r>
      <w:r w:rsidRPr="00E43378">
        <w:rPr>
          <w:color w:val="000000" w:themeColor="text1"/>
        </w:rPr>
        <w:t>kosztów</w:t>
      </w:r>
      <w:r w:rsidRPr="00E43378">
        <w:rPr>
          <w:color w:val="000000" w:themeColor="text1"/>
          <w:spacing w:val="-12"/>
        </w:rPr>
        <w:t xml:space="preserve"> </w:t>
      </w:r>
      <w:r w:rsidRPr="00E43378">
        <w:rPr>
          <w:color w:val="000000" w:themeColor="text1"/>
        </w:rPr>
        <w:t>o</w:t>
      </w:r>
      <w:r w:rsidRPr="00E43378">
        <w:rPr>
          <w:color w:val="000000" w:themeColor="text1"/>
          <w:spacing w:val="-12"/>
        </w:rPr>
        <w:t> </w:t>
      </w:r>
      <w:r w:rsidRPr="00E43378">
        <w:rPr>
          <w:color w:val="000000" w:themeColor="text1"/>
        </w:rPr>
        <w:t>nadzwyczajnej</w:t>
      </w:r>
      <w:r w:rsidRPr="00E43378">
        <w:rPr>
          <w:color w:val="000000" w:themeColor="text1"/>
          <w:spacing w:val="-13"/>
        </w:rPr>
        <w:t xml:space="preserve"> </w:t>
      </w:r>
      <w:r w:rsidRPr="00E43378">
        <w:rPr>
          <w:color w:val="000000" w:themeColor="text1"/>
        </w:rPr>
        <w:t>wartości</w:t>
      </w:r>
      <w:r w:rsidRPr="00E43378">
        <w:rPr>
          <w:color w:val="000000" w:themeColor="text1"/>
          <w:spacing w:val="-12"/>
        </w:rPr>
        <w:t xml:space="preserve"> </w:t>
      </w:r>
      <w:r w:rsidRPr="00E43378">
        <w:rPr>
          <w:color w:val="000000" w:themeColor="text1"/>
        </w:rPr>
        <w:t>lub</w:t>
      </w:r>
      <w:r w:rsidRPr="00E43378">
        <w:rPr>
          <w:color w:val="000000" w:themeColor="text1"/>
          <w:spacing w:val="-12"/>
        </w:rPr>
        <w:t xml:space="preserve"> </w:t>
      </w:r>
      <w:r w:rsidRPr="00E43378">
        <w:rPr>
          <w:color w:val="000000" w:themeColor="text1"/>
        </w:rPr>
        <w:t>które</w:t>
      </w:r>
      <w:r w:rsidRPr="00E43378">
        <w:rPr>
          <w:color w:val="000000" w:themeColor="text1"/>
          <w:spacing w:val="-12"/>
        </w:rPr>
        <w:t xml:space="preserve"> </w:t>
      </w:r>
      <w:r w:rsidRPr="00E43378">
        <w:rPr>
          <w:color w:val="000000" w:themeColor="text1"/>
        </w:rPr>
        <w:t xml:space="preserve">wystąpiły incydentalnie </w:t>
      </w:r>
      <w:r w:rsidR="00D740AF" w:rsidRPr="00E43378">
        <w:rPr>
          <w:color w:val="000000" w:themeColor="text1"/>
        </w:rPr>
        <w:t>–</w:t>
      </w:r>
      <w:r w:rsidRPr="00E43378">
        <w:rPr>
          <w:color w:val="000000" w:themeColor="text1"/>
        </w:rPr>
        <w:t xml:space="preserve"> </w:t>
      </w:r>
      <w:r w:rsidR="00D740AF" w:rsidRPr="00E43378">
        <w:rPr>
          <w:color w:val="000000" w:themeColor="text1"/>
        </w:rPr>
        <w:t>tabela nr 2.3</w:t>
      </w:r>
    </w:p>
    <w:p w:rsidR="00366A45" w:rsidRPr="00F27E8F" w:rsidRDefault="006A0859" w:rsidP="006A0859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47" w:line="250" w:lineRule="auto"/>
        <w:ind w:right="40"/>
        <w:jc w:val="both"/>
      </w:pPr>
      <w:r w:rsidRPr="00F27E8F">
        <w:t xml:space="preserve">informację o kwocie należności z tytułu podatków realizowanych przez organy podatkowe podległe ministrowi właściwemu do spraw finansów publicznych wykazywanych w sprawozdaniu z wykonania planu dochodów budżetowych – </w:t>
      </w:r>
    </w:p>
    <w:p w:rsidR="00366A45" w:rsidRPr="00F27E8F" w:rsidRDefault="00EA630C" w:rsidP="00EA630C">
      <w:pPr>
        <w:ind w:left="851" w:hanging="142"/>
      </w:pPr>
      <w:r w:rsidRPr="00F27E8F">
        <w:t>-</w:t>
      </w:r>
      <w:r w:rsidRPr="00F27E8F">
        <w:tab/>
      </w:r>
      <w:r w:rsidR="00366A45" w:rsidRPr="00F27E8F">
        <w:t>należności z tyt. podatku od czynnoś</w:t>
      </w:r>
      <w:r w:rsidRPr="00F27E8F">
        <w:t>ci cywilnoprawnych -</w:t>
      </w:r>
      <w:r w:rsidR="00F27E8F" w:rsidRPr="00F27E8F">
        <w:t>335.398,67</w:t>
      </w:r>
      <w:r w:rsidRPr="00F27E8F">
        <w:t xml:space="preserve"> zł,</w:t>
      </w:r>
    </w:p>
    <w:p w:rsidR="00366A45" w:rsidRPr="00F27E8F" w:rsidRDefault="00EA630C" w:rsidP="00EA630C">
      <w:pPr>
        <w:ind w:left="851" w:hanging="142"/>
      </w:pPr>
      <w:r w:rsidRPr="00F27E8F">
        <w:t>-</w:t>
      </w:r>
      <w:r w:rsidRPr="00F27E8F">
        <w:tab/>
      </w:r>
      <w:r w:rsidR="00366A45" w:rsidRPr="00F27E8F">
        <w:t>należności z tyt. podatku od działalności gospodar</w:t>
      </w:r>
      <w:r w:rsidRPr="00F27E8F">
        <w:t>czej os</w:t>
      </w:r>
      <w:r w:rsidR="00A55B2A" w:rsidRPr="00F27E8F">
        <w:t>.</w:t>
      </w:r>
      <w:r w:rsidRPr="00F27E8F">
        <w:t xml:space="preserve"> fizycznych -</w:t>
      </w:r>
      <w:r w:rsidR="00F27E8F" w:rsidRPr="00F27E8F">
        <w:t>742.067,39</w:t>
      </w:r>
      <w:r w:rsidRPr="00F27E8F">
        <w:t xml:space="preserve"> zł,</w:t>
      </w:r>
    </w:p>
    <w:p w:rsidR="00366A45" w:rsidRPr="00F27E8F" w:rsidRDefault="00EA630C" w:rsidP="00EA630C">
      <w:pPr>
        <w:ind w:left="851" w:hanging="142"/>
      </w:pPr>
      <w:r w:rsidRPr="00F27E8F">
        <w:t>-</w:t>
      </w:r>
      <w:r w:rsidRPr="00F27E8F">
        <w:tab/>
      </w:r>
      <w:r w:rsidR="00366A45" w:rsidRPr="00F27E8F">
        <w:t>należności z tyt. podatku od spadków i darowizn -</w:t>
      </w:r>
      <w:r w:rsidR="00F27E8F" w:rsidRPr="00F27E8F">
        <w:t>174.066,21</w:t>
      </w:r>
      <w:r w:rsidR="00366A45" w:rsidRPr="00F27E8F">
        <w:t xml:space="preserve"> </w:t>
      </w:r>
      <w:r w:rsidR="00193F3C" w:rsidRPr="00F27E8F">
        <w:t>zł.</w:t>
      </w:r>
    </w:p>
    <w:p w:rsidR="00FF4420" w:rsidRPr="007F7287" w:rsidRDefault="00FF4420" w:rsidP="00A55B2A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47" w:line="250" w:lineRule="auto"/>
        <w:ind w:left="851" w:right="40" w:hanging="425"/>
        <w:jc w:val="both"/>
        <w:rPr>
          <w:color w:val="000000" w:themeColor="text1"/>
        </w:rPr>
      </w:pPr>
      <w:r w:rsidRPr="007F7287">
        <w:rPr>
          <w:color w:val="000000" w:themeColor="text1"/>
        </w:rPr>
        <w:lastRenderedPageBreak/>
        <w:t>Informacje uzupełniające do bilansu z wykonania budżetu – tabela nr 2.4.</w:t>
      </w:r>
    </w:p>
    <w:p w:rsidR="006A0859" w:rsidRPr="009C2AA2" w:rsidRDefault="006A0859" w:rsidP="006A085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47" w:line="250" w:lineRule="auto"/>
        <w:ind w:left="851" w:right="40" w:hanging="425"/>
        <w:jc w:val="both"/>
        <w:rPr>
          <w:color w:val="000000" w:themeColor="text1"/>
        </w:rPr>
      </w:pPr>
      <w:r w:rsidRPr="009C2AA2">
        <w:rPr>
          <w:color w:val="000000" w:themeColor="text1"/>
        </w:rPr>
        <w:t>Inne</w:t>
      </w:r>
      <w:r w:rsidRPr="009C2AA2">
        <w:rPr>
          <w:color w:val="000000" w:themeColor="text1"/>
          <w:spacing w:val="-14"/>
        </w:rPr>
        <w:t xml:space="preserve"> </w:t>
      </w:r>
      <w:r w:rsidRPr="009C2AA2">
        <w:rPr>
          <w:color w:val="000000" w:themeColor="text1"/>
        </w:rPr>
        <w:t>informacje</w:t>
      </w:r>
      <w:r w:rsidRPr="009C2AA2">
        <w:rPr>
          <w:color w:val="000000" w:themeColor="text1"/>
          <w:spacing w:val="-14"/>
        </w:rPr>
        <w:t xml:space="preserve"> </w:t>
      </w:r>
      <w:r w:rsidRPr="009C2AA2">
        <w:rPr>
          <w:color w:val="000000" w:themeColor="text1"/>
        </w:rPr>
        <w:t>niż</w:t>
      </w:r>
      <w:r w:rsidRPr="009C2AA2">
        <w:rPr>
          <w:color w:val="000000" w:themeColor="text1"/>
          <w:spacing w:val="-14"/>
        </w:rPr>
        <w:t xml:space="preserve"> </w:t>
      </w:r>
      <w:r w:rsidRPr="009C2AA2">
        <w:rPr>
          <w:color w:val="000000" w:themeColor="text1"/>
        </w:rPr>
        <w:t>wymienione</w:t>
      </w:r>
      <w:r w:rsidRPr="009C2AA2">
        <w:rPr>
          <w:color w:val="000000" w:themeColor="text1"/>
          <w:spacing w:val="-14"/>
        </w:rPr>
        <w:t xml:space="preserve"> </w:t>
      </w:r>
      <w:r w:rsidRPr="009C2AA2">
        <w:rPr>
          <w:color w:val="000000" w:themeColor="text1"/>
        </w:rPr>
        <w:t>powyżej,</w:t>
      </w:r>
      <w:r w:rsidRPr="009C2AA2">
        <w:rPr>
          <w:color w:val="000000" w:themeColor="text1"/>
          <w:spacing w:val="-14"/>
        </w:rPr>
        <w:t xml:space="preserve"> </w:t>
      </w:r>
      <w:r w:rsidRPr="009C2AA2">
        <w:rPr>
          <w:color w:val="000000" w:themeColor="text1"/>
        </w:rPr>
        <w:t>jeżeli</w:t>
      </w:r>
      <w:r w:rsidRPr="009C2AA2">
        <w:rPr>
          <w:color w:val="000000" w:themeColor="text1"/>
          <w:spacing w:val="-14"/>
        </w:rPr>
        <w:t xml:space="preserve"> </w:t>
      </w:r>
      <w:r w:rsidRPr="009C2AA2">
        <w:rPr>
          <w:color w:val="000000" w:themeColor="text1"/>
        </w:rPr>
        <w:t>mogłyby</w:t>
      </w:r>
      <w:r w:rsidRPr="009C2AA2">
        <w:rPr>
          <w:color w:val="000000" w:themeColor="text1"/>
          <w:spacing w:val="-14"/>
        </w:rPr>
        <w:t xml:space="preserve"> </w:t>
      </w:r>
      <w:r w:rsidRPr="009C2AA2">
        <w:rPr>
          <w:color w:val="000000" w:themeColor="text1"/>
        </w:rPr>
        <w:t>w</w:t>
      </w:r>
      <w:r w:rsidRPr="009C2AA2">
        <w:rPr>
          <w:color w:val="000000" w:themeColor="text1"/>
          <w:spacing w:val="-14"/>
        </w:rPr>
        <w:t xml:space="preserve"> </w:t>
      </w:r>
      <w:r w:rsidRPr="009C2AA2">
        <w:rPr>
          <w:color w:val="000000" w:themeColor="text1"/>
        </w:rPr>
        <w:t>istotny</w:t>
      </w:r>
      <w:r w:rsidRPr="009C2AA2">
        <w:rPr>
          <w:color w:val="000000" w:themeColor="text1"/>
          <w:spacing w:val="-14"/>
        </w:rPr>
        <w:t xml:space="preserve"> </w:t>
      </w:r>
      <w:r w:rsidRPr="009C2AA2">
        <w:rPr>
          <w:color w:val="000000" w:themeColor="text1"/>
        </w:rPr>
        <w:t>sposób</w:t>
      </w:r>
      <w:r w:rsidRPr="009C2AA2">
        <w:rPr>
          <w:color w:val="000000" w:themeColor="text1"/>
          <w:spacing w:val="-14"/>
        </w:rPr>
        <w:t xml:space="preserve"> </w:t>
      </w:r>
      <w:r w:rsidRPr="009C2AA2">
        <w:rPr>
          <w:color w:val="000000" w:themeColor="text1"/>
        </w:rPr>
        <w:t>wpłynąć</w:t>
      </w:r>
      <w:r w:rsidRPr="009C2AA2">
        <w:rPr>
          <w:color w:val="000000" w:themeColor="text1"/>
          <w:spacing w:val="-14"/>
        </w:rPr>
        <w:t xml:space="preserve"> </w:t>
      </w:r>
      <w:r w:rsidRPr="009C2AA2">
        <w:rPr>
          <w:color w:val="000000" w:themeColor="text1"/>
        </w:rPr>
        <w:t>na</w:t>
      </w:r>
      <w:r w:rsidRPr="009C2AA2">
        <w:rPr>
          <w:color w:val="000000" w:themeColor="text1"/>
          <w:spacing w:val="-14"/>
        </w:rPr>
        <w:t xml:space="preserve"> </w:t>
      </w:r>
      <w:r w:rsidRPr="009C2AA2">
        <w:rPr>
          <w:color w:val="000000" w:themeColor="text1"/>
        </w:rPr>
        <w:t>ocenę</w:t>
      </w:r>
      <w:r w:rsidRPr="009C2AA2">
        <w:rPr>
          <w:color w:val="000000" w:themeColor="text1"/>
          <w:spacing w:val="-14"/>
        </w:rPr>
        <w:t xml:space="preserve"> </w:t>
      </w:r>
      <w:r w:rsidRPr="009C2AA2">
        <w:rPr>
          <w:color w:val="000000" w:themeColor="text1"/>
        </w:rPr>
        <w:t>sytuacji</w:t>
      </w:r>
      <w:r w:rsidRPr="009C2AA2">
        <w:rPr>
          <w:color w:val="000000" w:themeColor="text1"/>
          <w:spacing w:val="-14"/>
        </w:rPr>
        <w:t xml:space="preserve"> </w:t>
      </w:r>
      <w:r w:rsidRPr="009C2AA2">
        <w:rPr>
          <w:color w:val="000000" w:themeColor="text1"/>
        </w:rPr>
        <w:t>majątkowej i finansowej oraz wynik finansowy jednostki</w:t>
      </w:r>
      <w:r w:rsidR="00D3495C" w:rsidRPr="009C2AA2">
        <w:rPr>
          <w:color w:val="000000" w:themeColor="text1"/>
        </w:rPr>
        <w:t xml:space="preserve"> –</w:t>
      </w:r>
      <w:r w:rsidR="00D97309" w:rsidRPr="009C2AA2">
        <w:rPr>
          <w:color w:val="000000" w:themeColor="text1"/>
        </w:rPr>
        <w:t>– wyłączenia wzajemnych rozliczeń między jednostkami - tabela nr 3.1</w:t>
      </w:r>
    </w:p>
    <w:p w:rsidR="00626796" w:rsidRPr="009F6A0C" w:rsidRDefault="00626796" w:rsidP="001655FE">
      <w:pPr>
        <w:widowControl w:val="0"/>
        <w:autoSpaceDE w:val="0"/>
        <w:autoSpaceDN w:val="0"/>
        <w:adjustRightInd w:val="0"/>
        <w:spacing w:before="47" w:line="250" w:lineRule="auto"/>
        <w:ind w:left="851" w:right="40"/>
        <w:jc w:val="both"/>
      </w:pPr>
      <w:r w:rsidRPr="009F6A0C">
        <w:t>Wyłączenia z tytułu rozliczeń w</w:t>
      </w:r>
      <w:r w:rsidR="00AA4AFF" w:rsidRPr="009F6A0C">
        <w:t>ystępujących na dzień 31.12.2020</w:t>
      </w:r>
      <w:r w:rsidRPr="009F6A0C">
        <w:t xml:space="preserve"> roku pomiędzy jednostkami</w:t>
      </w:r>
      <w:r w:rsidR="00C94A19" w:rsidRPr="009F6A0C">
        <w:t>:</w:t>
      </w:r>
    </w:p>
    <w:p w:rsidR="00C94A19" w:rsidRPr="005E4A71" w:rsidRDefault="00F923C7" w:rsidP="00CD5301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47" w:line="250" w:lineRule="auto"/>
        <w:ind w:left="993" w:right="40" w:hanging="284"/>
        <w:jc w:val="both"/>
      </w:pPr>
      <w:r w:rsidRPr="005E4A71">
        <w:t xml:space="preserve">bilans: </w:t>
      </w:r>
    </w:p>
    <w:p w:rsidR="00C97685" w:rsidRPr="005E4A71" w:rsidRDefault="00C97685" w:rsidP="00C97685">
      <w:pPr>
        <w:pStyle w:val="Akapitzlist"/>
        <w:widowControl w:val="0"/>
        <w:autoSpaceDE w:val="0"/>
        <w:autoSpaceDN w:val="0"/>
        <w:adjustRightInd w:val="0"/>
        <w:spacing w:before="47" w:line="250" w:lineRule="auto"/>
        <w:ind w:left="993" w:right="40" w:hanging="142"/>
        <w:jc w:val="both"/>
      </w:pPr>
      <w:r w:rsidRPr="005E4A71">
        <w:t>- aktywa obrotowe,</w:t>
      </w:r>
      <w:r w:rsidR="00E05257" w:rsidRPr="005E4A71">
        <w:t xml:space="preserve"> w tym</w:t>
      </w:r>
      <w:r w:rsidRPr="005E4A71">
        <w:t xml:space="preserve"> należności krótkoterminowe:</w:t>
      </w:r>
    </w:p>
    <w:p w:rsidR="00F923C7" w:rsidRPr="005E4A71" w:rsidRDefault="00C97685" w:rsidP="00C9768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47" w:line="250" w:lineRule="auto"/>
        <w:ind w:right="40"/>
        <w:jc w:val="both"/>
      </w:pPr>
      <w:r w:rsidRPr="005E4A71">
        <w:t xml:space="preserve">należności z tytułu dostaw i usług – </w:t>
      </w:r>
      <w:r w:rsidR="005E4A71" w:rsidRPr="005E4A71">
        <w:t>3</w:t>
      </w:r>
      <w:r w:rsidR="005E4A71">
        <w:t>.</w:t>
      </w:r>
      <w:r w:rsidR="005E4A71" w:rsidRPr="005E4A71">
        <w:t>837,08</w:t>
      </w:r>
      <w:r w:rsidRPr="005E4A71">
        <w:t xml:space="preserve"> zł,</w:t>
      </w:r>
    </w:p>
    <w:p w:rsidR="00C97685" w:rsidRPr="005E4A71" w:rsidRDefault="00C97685" w:rsidP="00C9768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47" w:line="250" w:lineRule="auto"/>
        <w:ind w:right="40"/>
        <w:jc w:val="both"/>
      </w:pPr>
      <w:r w:rsidRPr="005E4A71">
        <w:t xml:space="preserve">pozostałe należności – </w:t>
      </w:r>
      <w:r w:rsidR="005E4A71" w:rsidRPr="005E4A71">
        <w:t>5.909,55</w:t>
      </w:r>
      <w:r w:rsidRPr="005E4A71">
        <w:t xml:space="preserve"> zł,</w:t>
      </w:r>
    </w:p>
    <w:p w:rsidR="00E05257" w:rsidRPr="005E4A71" w:rsidRDefault="00E05257" w:rsidP="00C97685">
      <w:pPr>
        <w:widowControl w:val="0"/>
        <w:autoSpaceDE w:val="0"/>
        <w:autoSpaceDN w:val="0"/>
        <w:adjustRightInd w:val="0"/>
        <w:spacing w:before="47" w:line="250" w:lineRule="auto"/>
        <w:ind w:left="851" w:right="40"/>
        <w:jc w:val="both"/>
      </w:pPr>
      <w:r w:rsidRPr="005E4A71">
        <w:t>- pasywa, w tym zobowiązania i rezerwy na zobowiązania:</w:t>
      </w:r>
    </w:p>
    <w:p w:rsidR="00E05257" w:rsidRPr="005E4A71" w:rsidRDefault="00E05257" w:rsidP="00E0525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47" w:line="250" w:lineRule="auto"/>
        <w:ind w:right="40" w:hanging="295"/>
        <w:jc w:val="both"/>
      </w:pPr>
      <w:r w:rsidRPr="005E4A71">
        <w:t xml:space="preserve">zobowiązania z tytułu dostaw i usług – </w:t>
      </w:r>
      <w:r w:rsidR="005E4A71" w:rsidRPr="005E4A71">
        <w:t>1.610,28</w:t>
      </w:r>
      <w:r w:rsidRPr="005E4A71">
        <w:t xml:space="preserve"> zł</w:t>
      </w:r>
    </w:p>
    <w:p w:rsidR="00E05257" w:rsidRPr="005E4A71" w:rsidRDefault="00E05257" w:rsidP="00E0525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47" w:line="250" w:lineRule="auto"/>
        <w:ind w:right="40" w:hanging="295"/>
        <w:jc w:val="both"/>
      </w:pPr>
      <w:r w:rsidRPr="005E4A71">
        <w:t xml:space="preserve">zobowiązania wobec budżetów – </w:t>
      </w:r>
      <w:r w:rsidR="005E4A71" w:rsidRPr="005E4A71">
        <w:t>8.136,35</w:t>
      </w:r>
      <w:r w:rsidRPr="005E4A71">
        <w:t xml:space="preserve"> zł,</w:t>
      </w:r>
    </w:p>
    <w:p w:rsidR="00F923C7" w:rsidRPr="004F2F99" w:rsidRDefault="00F923C7" w:rsidP="00CD5301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47" w:line="250" w:lineRule="auto"/>
        <w:ind w:left="993" w:right="40" w:hanging="284"/>
        <w:jc w:val="both"/>
      </w:pPr>
      <w:r w:rsidRPr="004F2F99">
        <w:t>rachunek zysków i strat:</w:t>
      </w:r>
    </w:p>
    <w:p w:rsidR="00CD5301" w:rsidRPr="004F2F99" w:rsidRDefault="003A5B0B" w:rsidP="003A5B0B">
      <w:pPr>
        <w:pStyle w:val="Akapitzlist"/>
        <w:ind w:left="993"/>
      </w:pPr>
      <w:r w:rsidRPr="004F2F99">
        <w:t>- przychody netto z podstawowej działalności operacyjnej, w tym:</w:t>
      </w:r>
    </w:p>
    <w:p w:rsidR="003A5B0B" w:rsidRPr="004F2F99" w:rsidRDefault="003A5B0B" w:rsidP="003A5B0B">
      <w:pPr>
        <w:pStyle w:val="Akapitzlist"/>
        <w:numPr>
          <w:ilvl w:val="0"/>
          <w:numId w:val="17"/>
        </w:numPr>
      </w:pPr>
      <w:r w:rsidRPr="004F2F99">
        <w:t xml:space="preserve">przychody netto ze sprzedaży produktów – </w:t>
      </w:r>
      <w:r w:rsidR="001B4918">
        <w:t>229.435,04</w:t>
      </w:r>
      <w:r w:rsidRPr="004F2F99">
        <w:t xml:space="preserve"> zł,</w:t>
      </w:r>
    </w:p>
    <w:p w:rsidR="003A5B0B" w:rsidRPr="004F2F99" w:rsidRDefault="003A5B0B" w:rsidP="003A5B0B">
      <w:pPr>
        <w:pStyle w:val="Akapitzlist"/>
        <w:numPr>
          <w:ilvl w:val="0"/>
          <w:numId w:val="17"/>
        </w:numPr>
      </w:pPr>
      <w:r w:rsidRPr="004F2F99">
        <w:t xml:space="preserve">przychody z tytułu dochodów budżetowych – </w:t>
      </w:r>
      <w:r w:rsidR="001B4918">
        <w:t>2.030.265,20</w:t>
      </w:r>
      <w:r w:rsidRPr="004F2F99">
        <w:t xml:space="preserve"> zł,</w:t>
      </w:r>
    </w:p>
    <w:p w:rsidR="003A5B0B" w:rsidRPr="004F2F99" w:rsidRDefault="003A5B0B" w:rsidP="003A5B0B">
      <w:pPr>
        <w:ind w:left="993"/>
      </w:pPr>
      <w:r w:rsidRPr="004F2F99">
        <w:t>- koszty działalności operacyjnej, w tym:</w:t>
      </w:r>
    </w:p>
    <w:p w:rsidR="003A5B0B" w:rsidRPr="004F2F99" w:rsidRDefault="003A5B0B" w:rsidP="003A5B0B">
      <w:pPr>
        <w:pStyle w:val="Akapitzlist"/>
        <w:numPr>
          <w:ilvl w:val="0"/>
          <w:numId w:val="18"/>
        </w:numPr>
      </w:pPr>
      <w:r w:rsidRPr="004F2F99">
        <w:t xml:space="preserve">zużycie materiałów i energii – </w:t>
      </w:r>
      <w:r w:rsidR="004F2F99" w:rsidRPr="004F2F99">
        <w:t>24.705,21</w:t>
      </w:r>
      <w:r w:rsidRPr="004F2F99">
        <w:t xml:space="preserve"> zł,</w:t>
      </w:r>
    </w:p>
    <w:p w:rsidR="003A5B0B" w:rsidRPr="004F2F99" w:rsidRDefault="00FF1E9E" w:rsidP="003A5B0B">
      <w:pPr>
        <w:pStyle w:val="Akapitzlist"/>
        <w:numPr>
          <w:ilvl w:val="0"/>
          <w:numId w:val="18"/>
        </w:numPr>
      </w:pPr>
      <w:r w:rsidRPr="004F2F99">
        <w:t xml:space="preserve">usługi obce – </w:t>
      </w:r>
      <w:r w:rsidR="004F2F99" w:rsidRPr="004F2F99">
        <w:t>189.615,39</w:t>
      </w:r>
      <w:r w:rsidRPr="004F2F99">
        <w:t xml:space="preserve"> zł,</w:t>
      </w:r>
    </w:p>
    <w:p w:rsidR="00FF1E9E" w:rsidRPr="004F2F99" w:rsidRDefault="00FF1E9E" w:rsidP="003A5B0B">
      <w:pPr>
        <w:pStyle w:val="Akapitzlist"/>
        <w:numPr>
          <w:ilvl w:val="0"/>
          <w:numId w:val="18"/>
        </w:numPr>
      </w:pPr>
      <w:r w:rsidRPr="004F2F99">
        <w:t xml:space="preserve">podatki i opłaty </w:t>
      </w:r>
      <w:r w:rsidR="001B4918">
        <w:t>1.995.792,25</w:t>
      </w:r>
      <w:r w:rsidRPr="004F2F99">
        <w:t xml:space="preserve"> zł</w:t>
      </w:r>
    </w:p>
    <w:p w:rsidR="00D81CED" w:rsidRPr="004F2F99" w:rsidRDefault="00D81CED" w:rsidP="003A5B0B">
      <w:pPr>
        <w:pStyle w:val="Akapitzlist"/>
        <w:numPr>
          <w:ilvl w:val="0"/>
          <w:numId w:val="18"/>
        </w:numPr>
      </w:pPr>
      <w:r w:rsidRPr="004F2F99">
        <w:t xml:space="preserve">pozostałe koszty </w:t>
      </w:r>
      <w:r w:rsidR="004F2F99" w:rsidRPr="004F2F99">
        <w:t>operacyjne</w:t>
      </w:r>
      <w:r w:rsidRPr="004F2F99">
        <w:t xml:space="preserve"> – </w:t>
      </w:r>
      <w:r w:rsidR="004F2F99" w:rsidRPr="004F2F99">
        <w:t>2</w:t>
      </w:r>
      <w:r w:rsidR="004F2F99">
        <w:t>1.895,</w:t>
      </w:r>
      <w:r w:rsidRPr="004F2F99">
        <w:t>00 zł</w:t>
      </w:r>
    </w:p>
    <w:p w:rsidR="00FF1E9E" w:rsidRPr="004F2F99" w:rsidRDefault="00FF1E9E" w:rsidP="003A5B0B">
      <w:pPr>
        <w:pStyle w:val="Akapitzlist"/>
        <w:numPr>
          <w:ilvl w:val="0"/>
          <w:numId w:val="18"/>
        </w:numPr>
      </w:pPr>
      <w:r w:rsidRPr="004F2F99">
        <w:t xml:space="preserve">inne świadczenia finansowane z budżetu – </w:t>
      </w:r>
      <w:r w:rsidR="001B4918">
        <w:t>28.772,39</w:t>
      </w:r>
      <w:r w:rsidRPr="004F2F99">
        <w:t xml:space="preserve"> zł,</w:t>
      </w:r>
    </w:p>
    <w:p w:rsidR="00AC5F21" w:rsidRPr="004F2F99" w:rsidRDefault="00AC5F21" w:rsidP="00AC5F21">
      <w:pPr>
        <w:ind w:left="993"/>
      </w:pPr>
      <w:r w:rsidRPr="004F2F99">
        <w:t>- pozostałe przychody operacyjne, w tym:</w:t>
      </w:r>
    </w:p>
    <w:p w:rsidR="00AC5F21" w:rsidRPr="004F2F99" w:rsidRDefault="00AC5F21" w:rsidP="00AC5F21">
      <w:pPr>
        <w:pStyle w:val="Akapitzlist"/>
        <w:numPr>
          <w:ilvl w:val="0"/>
          <w:numId w:val="19"/>
        </w:numPr>
      </w:pPr>
      <w:r w:rsidRPr="004F2F99">
        <w:t xml:space="preserve">inne przychody operacyjne – </w:t>
      </w:r>
      <w:r w:rsidR="004F2F99" w:rsidRPr="004F2F99">
        <w:t>1.080,00</w:t>
      </w:r>
      <w:r w:rsidRPr="004F2F99">
        <w:t xml:space="preserve"> zł,</w:t>
      </w:r>
    </w:p>
    <w:p w:rsidR="00C94A19" w:rsidRPr="009F6A0C" w:rsidRDefault="00F923C7" w:rsidP="00CD5301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47" w:line="250" w:lineRule="auto"/>
        <w:ind w:left="993" w:right="40" w:hanging="284"/>
        <w:jc w:val="both"/>
      </w:pPr>
      <w:r w:rsidRPr="009F6A0C">
        <w:t>zestawienie zmian w funduszach:</w:t>
      </w:r>
    </w:p>
    <w:p w:rsidR="00F923C7" w:rsidRPr="009F6A0C" w:rsidRDefault="00D35F16" w:rsidP="00CD5301">
      <w:pPr>
        <w:pStyle w:val="Akapitzlist"/>
        <w:widowControl w:val="0"/>
        <w:autoSpaceDE w:val="0"/>
        <w:autoSpaceDN w:val="0"/>
        <w:adjustRightInd w:val="0"/>
        <w:spacing w:before="47" w:line="250" w:lineRule="auto"/>
        <w:ind w:left="993" w:right="40" w:hanging="142"/>
        <w:jc w:val="both"/>
      </w:pPr>
      <w:r w:rsidRPr="009F6A0C">
        <w:t>- zwiększenie funduszu z tytułu</w:t>
      </w:r>
      <w:r w:rsidR="00F923C7" w:rsidRPr="009F6A0C">
        <w:t xml:space="preserve"> nieodpłatn</w:t>
      </w:r>
      <w:r w:rsidRPr="009F6A0C">
        <w:t>ie otrzymanych środków trwałych i środków trwałych w budowie oraz wartości niematerialnych i prawnych</w:t>
      </w:r>
      <w:r w:rsidR="00F923C7" w:rsidRPr="009F6A0C">
        <w:t xml:space="preserve"> – </w:t>
      </w:r>
      <w:r w:rsidR="007B4949">
        <w:t>129</w:t>
      </w:r>
      <w:r w:rsidR="001B4918">
        <w:t>.</w:t>
      </w:r>
      <w:r w:rsidR="007B4949">
        <w:t>751</w:t>
      </w:r>
      <w:r w:rsidR="001B4918">
        <w:t>.</w:t>
      </w:r>
      <w:r w:rsidR="007B4949">
        <w:t>682,55</w:t>
      </w:r>
      <w:r w:rsidR="00F923C7" w:rsidRPr="009F6A0C">
        <w:t xml:space="preserve"> zł</w:t>
      </w:r>
      <w:r w:rsidR="00FB1F60" w:rsidRPr="009F6A0C">
        <w:t>,</w:t>
      </w:r>
    </w:p>
    <w:p w:rsidR="00CD5301" w:rsidRPr="009F6A0C" w:rsidRDefault="00CD5301" w:rsidP="00CD5301">
      <w:pPr>
        <w:pStyle w:val="Akapitzlist"/>
        <w:widowControl w:val="0"/>
        <w:autoSpaceDE w:val="0"/>
        <w:autoSpaceDN w:val="0"/>
        <w:adjustRightInd w:val="0"/>
        <w:spacing w:before="47" w:line="250" w:lineRule="auto"/>
        <w:ind w:left="993" w:right="40" w:hanging="142"/>
        <w:jc w:val="both"/>
      </w:pPr>
      <w:r w:rsidRPr="009F6A0C">
        <w:t>- zmniejszenie funduszu</w:t>
      </w:r>
      <w:r w:rsidR="00FB1F60" w:rsidRPr="009F6A0C">
        <w:t xml:space="preserve"> jednostki z tytułu wartości</w:t>
      </w:r>
      <w:r w:rsidRPr="009F6A0C">
        <w:t xml:space="preserve"> sprzedanych i nieodpłatnie przekazanych środków trwałych </w:t>
      </w:r>
      <w:r w:rsidR="00FB1F60" w:rsidRPr="009F6A0C">
        <w:t xml:space="preserve">i środków trwałych w budowie oraz wartości niematerialnych i prawnych – </w:t>
      </w:r>
      <w:r w:rsidR="007B4949">
        <w:t>129</w:t>
      </w:r>
      <w:r w:rsidR="001B4918">
        <w:t>.</w:t>
      </w:r>
      <w:r w:rsidR="007B4949">
        <w:t>751</w:t>
      </w:r>
      <w:r w:rsidR="001B4918">
        <w:t>.</w:t>
      </w:r>
      <w:r w:rsidR="007B4949">
        <w:t>682,55</w:t>
      </w:r>
      <w:r w:rsidR="00FB1F60" w:rsidRPr="009F6A0C">
        <w:t xml:space="preserve"> zł, </w:t>
      </w:r>
    </w:p>
    <w:p w:rsidR="00AE79D9" w:rsidRDefault="00AE79D9" w:rsidP="00564D03">
      <w:pPr>
        <w:widowControl w:val="0"/>
        <w:autoSpaceDE w:val="0"/>
        <w:autoSpaceDN w:val="0"/>
        <w:adjustRightInd w:val="0"/>
        <w:spacing w:line="200" w:lineRule="exact"/>
        <w:rPr>
          <w:color w:val="000000" w:themeColor="text1"/>
        </w:rPr>
      </w:pPr>
    </w:p>
    <w:p w:rsidR="00AE79D9" w:rsidRDefault="00AE79D9" w:rsidP="00564D03">
      <w:pPr>
        <w:widowControl w:val="0"/>
        <w:autoSpaceDE w:val="0"/>
        <w:autoSpaceDN w:val="0"/>
        <w:adjustRightInd w:val="0"/>
        <w:spacing w:line="200" w:lineRule="exact"/>
        <w:rPr>
          <w:color w:val="000000" w:themeColor="text1"/>
        </w:rPr>
      </w:pPr>
    </w:p>
    <w:p w:rsidR="00D748D4" w:rsidRDefault="00D748D4" w:rsidP="00564D03">
      <w:pPr>
        <w:widowControl w:val="0"/>
        <w:autoSpaceDE w:val="0"/>
        <w:autoSpaceDN w:val="0"/>
        <w:adjustRightInd w:val="0"/>
        <w:spacing w:line="200" w:lineRule="exact"/>
        <w:rPr>
          <w:color w:val="000000" w:themeColor="text1"/>
        </w:rPr>
      </w:pPr>
    </w:p>
    <w:p w:rsidR="00D748D4" w:rsidRDefault="00D748D4" w:rsidP="00564D03">
      <w:pPr>
        <w:widowControl w:val="0"/>
        <w:autoSpaceDE w:val="0"/>
        <w:autoSpaceDN w:val="0"/>
        <w:adjustRightInd w:val="0"/>
        <w:spacing w:line="200" w:lineRule="exact"/>
        <w:rPr>
          <w:color w:val="000000" w:themeColor="text1"/>
        </w:rPr>
      </w:pPr>
    </w:p>
    <w:p w:rsidR="00AE79D9" w:rsidRDefault="00AE79D9" w:rsidP="00564D03">
      <w:pPr>
        <w:widowControl w:val="0"/>
        <w:autoSpaceDE w:val="0"/>
        <w:autoSpaceDN w:val="0"/>
        <w:adjustRightInd w:val="0"/>
        <w:spacing w:line="200" w:lineRule="exact"/>
        <w:rPr>
          <w:color w:val="000000" w:themeColor="text1"/>
        </w:rPr>
      </w:pPr>
    </w:p>
    <w:p w:rsidR="00564D03" w:rsidRDefault="00564D03" w:rsidP="00564D03">
      <w:pPr>
        <w:widowControl w:val="0"/>
        <w:autoSpaceDE w:val="0"/>
        <w:autoSpaceDN w:val="0"/>
        <w:adjustRightInd w:val="0"/>
        <w:spacing w:line="200" w:lineRule="exact"/>
        <w:rPr>
          <w:color w:val="000000" w:themeColor="text1"/>
        </w:rPr>
      </w:pPr>
    </w:p>
    <w:p w:rsidR="00564D03" w:rsidRPr="0034014B" w:rsidRDefault="00564D03" w:rsidP="00564D03">
      <w:pPr>
        <w:widowControl w:val="0"/>
        <w:autoSpaceDE w:val="0"/>
        <w:autoSpaceDN w:val="0"/>
        <w:adjustRightInd w:val="0"/>
        <w:spacing w:line="200" w:lineRule="exact"/>
        <w:rPr>
          <w:color w:val="000000" w:themeColor="text1"/>
        </w:rPr>
      </w:pPr>
    </w:p>
    <w:p w:rsidR="00564D03" w:rsidRPr="0034014B" w:rsidRDefault="00564D03" w:rsidP="00D748D4">
      <w:pPr>
        <w:widowControl w:val="0"/>
        <w:autoSpaceDE w:val="0"/>
        <w:autoSpaceDN w:val="0"/>
        <w:adjustRightInd w:val="0"/>
        <w:spacing w:line="200" w:lineRule="exact"/>
        <w:rPr>
          <w:color w:val="000000" w:themeColor="text1"/>
        </w:rPr>
      </w:pPr>
      <w:r w:rsidRPr="0034014B">
        <w:rPr>
          <w:color w:val="000000" w:themeColor="text1"/>
        </w:rPr>
        <w:tab/>
      </w:r>
      <w:r w:rsidRPr="0034014B">
        <w:rPr>
          <w:color w:val="000000" w:themeColor="text1"/>
        </w:rPr>
        <w:tab/>
      </w:r>
      <w:r w:rsidRPr="0034014B">
        <w:rPr>
          <w:color w:val="000000" w:themeColor="text1"/>
        </w:rPr>
        <w:tab/>
      </w:r>
      <w:r w:rsidRPr="0034014B">
        <w:rPr>
          <w:color w:val="000000" w:themeColor="text1"/>
        </w:rPr>
        <w:tab/>
      </w:r>
      <w:r w:rsidRPr="0034014B">
        <w:rPr>
          <w:color w:val="000000" w:themeColor="text1"/>
        </w:rPr>
        <w:tab/>
      </w:r>
      <w:r w:rsidRPr="0034014B">
        <w:rPr>
          <w:color w:val="000000" w:themeColor="text1"/>
        </w:rPr>
        <w:tab/>
      </w:r>
      <w:r w:rsidR="00D748D4">
        <w:rPr>
          <w:color w:val="000000" w:themeColor="text1"/>
        </w:rPr>
        <w:t xml:space="preserve">     </w:t>
      </w:r>
      <w:r w:rsidR="007F6A32">
        <w:rPr>
          <w:color w:val="000000" w:themeColor="text1"/>
        </w:rPr>
        <w:t>20</w:t>
      </w:r>
      <w:r w:rsidR="002D2FB0">
        <w:rPr>
          <w:color w:val="000000" w:themeColor="text1"/>
        </w:rPr>
        <w:t>20</w:t>
      </w:r>
      <w:r w:rsidR="002777A1">
        <w:rPr>
          <w:color w:val="000000" w:themeColor="text1"/>
        </w:rPr>
        <w:t xml:space="preserve"> – 05 - </w:t>
      </w:r>
      <w:r w:rsidR="009F6A0C">
        <w:rPr>
          <w:color w:val="000000" w:themeColor="text1"/>
        </w:rPr>
        <w:t>27</w:t>
      </w:r>
    </w:p>
    <w:tbl>
      <w:tblPr>
        <w:tblW w:w="10252" w:type="dxa"/>
        <w:tblInd w:w="1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3402"/>
        <w:gridCol w:w="2895"/>
      </w:tblGrid>
      <w:tr w:rsidR="0034014B" w:rsidRPr="0034014B" w:rsidTr="00D748D4">
        <w:trPr>
          <w:trHeight w:hRule="exact" w:val="297"/>
        </w:trPr>
        <w:tc>
          <w:tcPr>
            <w:tcW w:w="3955" w:type="dxa"/>
            <w:hideMark/>
          </w:tcPr>
          <w:p w:rsidR="00564D03" w:rsidRPr="0034014B" w:rsidRDefault="00D748D4" w:rsidP="00D748D4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506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position w:val="-1"/>
                <w:sz w:val="22"/>
                <w:szCs w:val="22"/>
              </w:rPr>
              <w:t xml:space="preserve">   </w:t>
            </w:r>
            <w:r w:rsidR="00564D03" w:rsidRPr="0034014B">
              <w:rPr>
                <w:i/>
                <w:color w:val="000000" w:themeColor="text1"/>
                <w:position w:val="-1"/>
                <w:sz w:val="22"/>
                <w:szCs w:val="22"/>
              </w:rPr>
              <w:t>..........................................</w:t>
            </w:r>
            <w:r>
              <w:rPr>
                <w:i/>
                <w:color w:val="000000" w:themeColor="text1"/>
                <w:position w:val="-1"/>
                <w:sz w:val="22"/>
                <w:szCs w:val="22"/>
              </w:rPr>
              <w:t xml:space="preserve">                 </w:t>
            </w:r>
          </w:p>
        </w:tc>
        <w:tc>
          <w:tcPr>
            <w:tcW w:w="3402" w:type="dxa"/>
            <w:hideMark/>
          </w:tcPr>
          <w:p w:rsidR="00564D03" w:rsidRPr="0034014B" w:rsidRDefault="00564D03" w:rsidP="00D748D4">
            <w:pPr>
              <w:widowControl w:val="0"/>
              <w:autoSpaceDE w:val="0"/>
              <w:autoSpaceDN w:val="0"/>
              <w:adjustRightInd w:val="0"/>
              <w:spacing w:line="203" w:lineRule="exact"/>
              <w:rPr>
                <w:i/>
                <w:color w:val="000000" w:themeColor="text1"/>
                <w:sz w:val="22"/>
                <w:szCs w:val="22"/>
              </w:rPr>
            </w:pPr>
            <w:r w:rsidRPr="0034014B">
              <w:rPr>
                <w:i/>
                <w:color w:val="000000" w:themeColor="text1"/>
                <w:position w:val="-1"/>
                <w:sz w:val="22"/>
                <w:szCs w:val="22"/>
              </w:rPr>
              <w:t>..........................................</w:t>
            </w:r>
          </w:p>
        </w:tc>
        <w:tc>
          <w:tcPr>
            <w:tcW w:w="2895" w:type="dxa"/>
            <w:hideMark/>
          </w:tcPr>
          <w:p w:rsidR="00564D03" w:rsidRPr="0034014B" w:rsidRDefault="00564D03" w:rsidP="00D748D4">
            <w:pPr>
              <w:widowControl w:val="0"/>
              <w:autoSpaceDE w:val="0"/>
              <w:autoSpaceDN w:val="0"/>
              <w:adjustRightInd w:val="0"/>
              <w:spacing w:line="203" w:lineRule="exact"/>
              <w:ind w:hanging="150"/>
              <w:rPr>
                <w:i/>
                <w:color w:val="000000" w:themeColor="text1"/>
                <w:sz w:val="22"/>
                <w:szCs w:val="22"/>
              </w:rPr>
            </w:pPr>
            <w:r w:rsidRPr="0034014B">
              <w:rPr>
                <w:i/>
                <w:color w:val="000000" w:themeColor="text1"/>
                <w:position w:val="-1"/>
                <w:sz w:val="22"/>
                <w:szCs w:val="22"/>
              </w:rPr>
              <w:t>............................</w:t>
            </w:r>
            <w:r w:rsidR="00D748D4">
              <w:rPr>
                <w:i/>
                <w:color w:val="000000" w:themeColor="text1"/>
                <w:position w:val="-1"/>
                <w:sz w:val="22"/>
                <w:szCs w:val="22"/>
              </w:rPr>
              <w:t>......</w:t>
            </w:r>
            <w:r w:rsidRPr="0034014B">
              <w:rPr>
                <w:i/>
                <w:color w:val="000000" w:themeColor="text1"/>
                <w:position w:val="-1"/>
                <w:sz w:val="22"/>
                <w:szCs w:val="22"/>
              </w:rPr>
              <w:t>....</w:t>
            </w:r>
          </w:p>
        </w:tc>
      </w:tr>
      <w:tr w:rsidR="00D748D4" w:rsidRPr="0034014B" w:rsidTr="00D748D4">
        <w:trPr>
          <w:trHeight w:hRule="exact" w:val="297"/>
        </w:trPr>
        <w:tc>
          <w:tcPr>
            <w:tcW w:w="3955" w:type="dxa"/>
          </w:tcPr>
          <w:tbl>
            <w:tblPr>
              <w:tblW w:w="9850" w:type="dxa"/>
              <w:tblInd w:w="15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5"/>
              <w:gridCol w:w="3930"/>
              <w:gridCol w:w="2895"/>
            </w:tblGrid>
            <w:tr w:rsidR="00D748D4" w:rsidRPr="0034014B" w:rsidTr="009D5C87">
              <w:trPr>
                <w:trHeight w:hRule="exact" w:val="297"/>
              </w:trPr>
              <w:tc>
                <w:tcPr>
                  <w:tcW w:w="3025" w:type="dxa"/>
                  <w:hideMark/>
                </w:tcPr>
                <w:p w:rsidR="00D748D4" w:rsidRPr="0034014B" w:rsidRDefault="00D748D4" w:rsidP="00D748D4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rPr>
                      <w:i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            </w:t>
                  </w:r>
                  <w:r w:rsidRPr="0034014B">
                    <w:rPr>
                      <w:i/>
                      <w:color w:val="000000" w:themeColor="text1"/>
                      <w:sz w:val="22"/>
                      <w:szCs w:val="22"/>
                    </w:rPr>
                    <w:t>(</w:t>
                  </w:r>
                  <w:r>
                    <w:rPr>
                      <w:i/>
                      <w:color w:val="000000" w:themeColor="text1"/>
                      <w:sz w:val="22"/>
                      <w:szCs w:val="22"/>
                    </w:rPr>
                    <w:t>Skarbnik</w:t>
                  </w:r>
                  <w:r w:rsidRPr="0034014B">
                    <w:rPr>
                      <w:i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930" w:type="dxa"/>
                  <w:hideMark/>
                </w:tcPr>
                <w:p w:rsidR="00D748D4" w:rsidRPr="0034014B" w:rsidRDefault="00D748D4" w:rsidP="00D748D4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ind w:left="1270" w:right="-20"/>
                    <w:rPr>
                      <w:i/>
                      <w:color w:val="000000" w:themeColor="text1"/>
                      <w:sz w:val="22"/>
                      <w:szCs w:val="22"/>
                    </w:rPr>
                  </w:pPr>
                  <w:r w:rsidRPr="0034014B">
                    <w:rPr>
                      <w:i/>
                      <w:color w:val="000000" w:themeColor="text1"/>
                      <w:sz w:val="22"/>
                      <w:szCs w:val="22"/>
                    </w:rPr>
                    <w:t>(rok, miesiąc, dzień)</w:t>
                  </w:r>
                </w:p>
              </w:tc>
              <w:tc>
                <w:tcPr>
                  <w:tcW w:w="2895" w:type="dxa"/>
                  <w:hideMark/>
                </w:tcPr>
                <w:p w:rsidR="00D748D4" w:rsidRPr="0034014B" w:rsidRDefault="00D748D4" w:rsidP="00D748D4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ind w:left="403" w:right="-20" w:firstLine="142"/>
                    <w:rPr>
                      <w:i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i/>
                      <w:color w:val="000000" w:themeColor="text1"/>
                      <w:sz w:val="22"/>
                      <w:szCs w:val="22"/>
                    </w:rPr>
                    <w:t>(K</w:t>
                  </w:r>
                  <w:r w:rsidRPr="0034014B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ierownik </w:t>
                  </w:r>
                  <w:r>
                    <w:rPr>
                      <w:i/>
                      <w:color w:val="000000" w:themeColor="text1"/>
                      <w:sz w:val="22"/>
                      <w:szCs w:val="22"/>
                    </w:rPr>
                    <w:t>j</w:t>
                  </w:r>
                  <w:r w:rsidRPr="0034014B">
                    <w:rPr>
                      <w:i/>
                      <w:color w:val="000000" w:themeColor="text1"/>
                      <w:sz w:val="22"/>
                      <w:szCs w:val="22"/>
                    </w:rPr>
                    <w:t>ednostki)</w:t>
                  </w:r>
                </w:p>
              </w:tc>
            </w:tr>
          </w:tbl>
          <w:p w:rsidR="00D748D4" w:rsidRPr="0034014B" w:rsidRDefault="00D748D4" w:rsidP="00D748D4">
            <w:pPr>
              <w:widowControl w:val="0"/>
              <w:autoSpaceDE w:val="0"/>
              <w:autoSpaceDN w:val="0"/>
              <w:adjustRightInd w:val="0"/>
              <w:spacing w:line="203" w:lineRule="exact"/>
              <w:rPr>
                <w:i/>
                <w:color w:val="000000" w:themeColor="text1"/>
                <w:position w:val="-1"/>
                <w:sz w:val="22"/>
                <w:szCs w:val="22"/>
              </w:rPr>
            </w:pPr>
          </w:p>
        </w:tc>
        <w:tc>
          <w:tcPr>
            <w:tcW w:w="3402" w:type="dxa"/>
          </w:tcPr>
          <w:p w:rsidR="00D748D4" w:rsidRPr="0034014B" w:rsidRDefault="00D748D4" w:rsidP="00D748D4">
            <w:pPr>
              <w:widowControl w:val="0"/>
              <w:autoSpaceDE w:val="0"/>
              <w:autoSpaceDN w:val="0"/>
              <w:adjustRightInd w:val="0"/>
              <w:spacing w:before="76" w:line="203" w:lineRule="exact"/>
              <w:ind w:left="1065" w:right="-20" w:hanging="780"/>
              <w:rPr>
                <w:i/>
                <w:color w:val="000000" w:themeColor="text1"/>
                <w:position w:val="-1"/>
                <w:sz w:val="22"/>
                <w:szCs w:val="22"/>
              </w:rPr>
            </w:pPr>
            <w:r w:rsidRPr="0034014B">
              <w:rPr>
                <w:i/>
                <w:color w:val="000000" w:themeColor="text1"/>
                <w:sz w:val="22"/>
                <w:szCs w:val="22"/>
              </w:rPr>
              <w:t>(rok, miesiąc, dzień)</w:t>
            </w:r>
          </w:p>
        </w:tc>
        <w:tc>
          <w:tcPr>
            <w:tcW w:w="2895" w:type="dxa"/>
          </w:tcPr>
          <w:p w:rsidR="00D748D4" w:rsidRPr="0034014B" w:rsidRDefault="00D748D4" w:rsidP="00D748D4">
            <w:pPr>
              <w:widowControl w:val="0"/>
              <w:autoSpaceDE w:val="0"/>
              <w:autoSpaceDN w:val="0"/>
              <w:adjustRightInd w:val="0"/>
              <w:spacing w:before="76" w:line="203" w:lineRule="exact"/>
              <w:ind w:left="695" w:right="-20" w:hanging="695"/>
              <w:rPr>
                <w:i/>
                <w:color w:val="000000" w:themeColor="text1"/>
                <w:position w:val="-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(K</w:t>
            </w:r>
            <w:r w:rsidRPr="0034014B">
              <w:rPr>
                <w:i/>
                <w:color w:val="000000" w:themeColor="text1"/>
                <w:sz w:val="22"/>
                <w:szCs w:val="22"/>
              </w:rPr>
              <w:t xml:space="preserve">ierownik </w:t>
            </w:r>
            <w:r>
              <w:rPr>
                <w:i/>
                <w:color w:val="000000" w:themeColor="text1"/>
                <w:sz w:val="22"/>
                <w:szCs w:val="22"/>
              </w:rPr>
              <w:t>j</w:t>
            </w:r>
            <w:r w:rsidRPr="0034014B">
              <w:rPr>
                <w:i/>
                <w:color w:val="000000" w:themeColor="text1"/>
                <w:sz w:val="22"/>
                <w:szCs w:val="22"/>
              </w:rPr>
              <w:t>ednostki)</w:t>
            </w:r>
          </w:p>
        </w:tc>
      </w:tr>
      <w:tr w:rsidR="0034014B" w:rsidRPr="0034014B" w:rsidTr="00D748D4">
        <w:trPr>
          <w:trHeight w:hRule="exact" w:val="297"/>
        </w:trPr>
        <w:tc>
          <w:tcPr>
            <w:tcW w:w="3955" w:type="dxa"/>
          </w:tcPr>
          <w:p w:rsidR="00564D03" w:rsidRPr="0034014B" w:rsidRDefault="00564D03" w:rsidP="00D748D4">
            <w:pPr>
              <w:widowControl w:val="0"/>
              <w:autoSpaceDE w:val="0"/>
              <w:autoSpaceDN w:val="0"/>
              <w:adjustRightInd w:val="0"/>
              <w:spacing w:line="184" w:lineRule="exact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564D03" w:rsidRPr="0034014B" w:rsidRDefault="00564D03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270" w:right="-20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95" w:type="dxa"/>
          </w:tcPr>
          <w:p w:rsidR="00677BF1" w:rsidRPr="0034014B" w:rsidRDefault="00677BF1" w:rsidP="00D748D4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3" w:right="-20" w:firstLine="142"/>
              <w:rPr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3A0F44" w:rsidRPr="0034014B" w:rsidRDefault="003A0F44" w:rsidP="00D748D4">
      <w:pPr>
        <w:jc w:val="both"/>
        <w:rPr>
          <w:color w:val="000000" w:themeColor="text1"/>
        </w:rPr>
      </w:pPr>
    </w:p>
    <w:sectPr w:rsidR="003A0F44" w:rsidRPr="0034014B" w:rsidSect="00490B20">
      <w:footerReference w:type="default" r:id="rId7"/>
      <w:pgSz w:w="11906" w:h="16838"/>
      <w:pgMar w:top="1417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5E2" w:rsidRDefault="001945E2" w:rsidP="001945E2">
      <w:r>
        <w:separator/>
      </w:r>
    </w:p>
  </w:endnote>
  <w:endnote w:type="continuationSeparator" w:id="0">
    <w:p w:rsidR="001945E2" w:rsidRDefault="001945E2" w:rsidP="001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347055"/>
      <w:docPartObj>
        <w:docPartGallery w:val="Page Numbers (Bottom of Page)"/>
        <w:docPartUnique/>
      </w:docPartObj>
    </w:sdtPr>
    <w:sdtEndPr/>
    <w:sdtContent>
      <w:p w:rsidR="001945E2" w:rsidRDefault="001945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2EB">
          <w:rPr>
            <w:noProof/>
          </w:rPr>
          <w:t>3</w:t>
        </w:r>
        <w:r>
          <w:fldChar w:fldCharType="end"/>
        </w:r>
      </w:p>
    </w:sdtContent>
  </w:sdt>
  <w:p w:rsidR="001945E2" w:rsidRDefault="001945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5E2" w:rsidRDefault="001945E2" w:rsidP="001945E2">
      <w:r>
        <w:separator/>
      </w:r>
    </w:p>
  </w:footnote>
  <w:footnote w:type="continuationSeparator" w:id="0">
    <w:p w:rsidR="001945E2" w:rsidRDefault="001945E2" w:rsidP="001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3ED5"/>
    <w:multiLevelType w:val="hybridMultilevel"/>
    <w:tmpl w:val="48D81A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3660F30"/>
    <w:multiLevelType w:val="hybridMultilevel"/>
    <w:tmpl w:val="26F6FBF4"/>
    <w:lvl w:ilvl="0" w:tplc="657250F8">
      <w:start w:val="1"/>
      <w:numFmt w:val="decimal"/>
      <w:lvlText w:val="%1)"/>
      <w:lvlJc w:val="left"/>
      <w:pPr>
        <w:ind w:left="43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" w15:restartNumberingAfterBreak="0">
    <w:nsid w:val="106C3489"/>
    <w:multiLevelType w:val="hybridMultilevel"/>
    <w:tmpl w:val="B84005BA"/>
    <w:lvl w:ilvl="0" w:tplc="2D72DA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330B8"/>
    <w:multiLevelType w:val="hybridMultilevel"/>
    <w:tmpl w:val="2138C4A4"/>
    <w:lvl w:ilvl="0" w:tplc="E3ACD9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54E5085"/>
    <w:multiLevelType w:val="hybridMultilevel"/>
    <w:tmpl w:val="C9A0B0B0"/>
    <w:lvl w:ilvl="0" w:tplc="041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128F"/>
    <w:multiLevelType w:val="hybridMultilevel"/>
    <w:tmpl w:val="5824E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F661D"/>
    <w:multiLevelType w:val="hybridMultilevel"/>
    <w:tmpl w:val="FF1C8CE2"/>
    <w:lvl w:ilvl="0" w:tplc="4634BEE2">
      <w:start w:val="3"/>
      <w:numFmt w:val="decimal"/>
      <w:lvlText w:val="%1)"/>
      <w:lvlJc w:val="left"/>
      <w:pPr>
        <w:ind w:left="43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7" w15:restartNumberingAfterBreak="0">
    <w:nsid w:val="38AB255B"/>
    <w:multiLevelType w:val="multilevel"/>
    <w:tmpl w:val="75023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3B9E6C66"/>
    <w:multiLevelType w:val="hybridMultilevel"/>
    <w:tmpl w:val="AA84FEF0"/>
    <w:lvl w:ilvl="0" w:tplc="890ADA2C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9" w15:restartNumberingAfterBreak="0">
    <w:nsid w:val="3FA8555B"/>
    <w:multiLevelType w:val="hybridMultilevel"/>
    <w:tmpl w:val="4964F3A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514B0097"/>
    <w:multiLevelType w:val="hybridMultilevel"/>
    <w:tmpl w:val="75BE5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763"/>
    <w:multiLevelType w:val="hybridMultilevel"/>
    <w:tmpl w:val="179643F4"/>
    <w:lvl w:ilvl="0" w:tplc="0415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2" w15:restartNumberingAfterBreak="0">
    <w:nsid w:val="527F0BA2"/>
    <w:multiLevelType w:val="multilevel"/>
    <w:tmpl w:val="9C0CEB6C"/>
    <w:lvl w:ilvl="0">
      <w:start w:val="1"/>
      <w:numFmt w:val="upperRoman"/>
      <w:lvlText w:val="%1."/>
      <w:lvlJc w:val="left"/>
      <w:pPr>
        <w:ind w:left="79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2" w:hanging="1800"/>
      </w:pPr>
      <w:rPr>
        <w:rFonts w:hint="default"/>
      </w:rPr>
    </w:lvl>
  </w:abstractNum>
  <w:abstractNum w:abstractNumId="13" w15:restartNumberingAfterBreak="0">
    <w:nsid w:val="5BEE07D5"/>
    <w:multiLevelType w:val="hybridMultilevel"/>
    <w:tmpl w:val="5860CD0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35A4EDF"/>
    <w:multiLevelType w:val="hybridMultilevel"/>
    <w:tmpl w:val="4DE25AE2"/>
    <w:lvl w:ilvl="0" w:tplc="8AAA349A">
      <w:start w:val="1"/>
      <w:numFmt w:val="decimal"/>
      <w:lvlText w:val="%1)"/>
      <w:lvlJc w:val="left"/>
      <w:pPr>
        <w:ind w:left="7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5" w15:restartNumberingAfterBreak="0">
    <w:nsid w:val="6B600B95"/>
    <w:multiLevelType w:val="hybridMultilevel"/>
    <w:tmpl w:val="4094D930"/>
    <w:lvl w:ilvl="0" w:tplc="5358AEF4">
      <w:start w:val="1"/>
      <w:numFmt w:val="decimal"/>
      <w:lvlText w:val="%1."/>
      <w:lvlJc w:val="left"/>
      <w:pPr>
        <w:ind w:left="438" w:hanging="360"/>
      </w:pPr>
      <w:rPr>
        <w:rFonts w:hint="default"/>
        <w:color w:val="2E2014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6ED3700A"/>
    <w:multiLevelType w:val="hybridMultilevel"/>
    <w:tmpl w:val="5FB40D96"/>
    <w:lvl w:ilvl="0" w:tplc="00B45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93582E"/>
    <w:multiLevelType w:val="hybridMultilevel"/>
    <w:tmpl w:val="34B8EF02"/>
    <w:lvl w:ilvl="0" w:tplc="8AAA349A">
      <w:start w:val="1"/>
      <w:numFmt w:val="decimal"/>
      <w:lvlText w:val="%1)"/>
      <w:lvlJc w:val="left"/>
      <w:pPr>
        <w:ind w:left="7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8" w15:restartNumberingAfterBreak="0">
    <w:nsid w:val="7ED45309"/>
    <w:multiLevelType w:val="hybridMultilevel"/>
    <w:tmpl w:val="A81838D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16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14"/>
  </w:num>
  <w:num w:numId="10">
    <w:abstractNumId w:val="6"/>
  </w:num>
  <w:num w:numId="11">
    <w:abstractNumId w:val="12"/>
  </w:num>
  <w:num w:numId="12">
    <w:abstractNumId w:val="7"/>
  </w:num>
  <w:num w:numId="13">
    <w:abstractNumId w:val="3"/>
  </w:num>
  <w:num w:numId="14">
    <w:abstractNumId w:val="1"/>
  </w:num>
  <w:num w:numId="15">
    <w:abstractNumId w:val="11"/>
  </w:num>
  <w:num w:numId="16">
    <w:abstractNumId w:val="18"/>
  </w:num>
  <w:num w:numId="17">
    <w:abstractNumId w:val="0"/>
  </w:num>
  <w:num w:numId="18">
    <w:abstractNumId w:val="13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EE"/>
    <w:rsid w:val="00001DB4"/>
    <w:rsid w:val="00002113"/>
    <w:rsid w:val="000049D0"/>
    <w:rsid w:val="00005AB5"/>
    <w:rsid w:val="000074EE"/>
    <w:rsid w:val="0001248C"/>
    <w:rsid w:val="000156D4"/>
    <w:rsid w:val="00016341"/>
    <w:rsid w:val="00034976"/>
    <w:rsid w:val="00036210"/>
    <w:rsid w:val="00040994"/>
    <w:rsid w:val="00046DBE"/>
    <w:rsid w:val="00057B6E"/>
    <w:rsid w:val="00060E82"/>
    <w:rsid w:val="0008043D"/>
    <w:rsid w:val="000A00A1"/>
    <w:rsid w:val="000A2BAB"/>
    <w:rsid w:val="000B3460"/>
    <w:rsid w:val="000C32E7"/>
    <w:rsid w:val="000C3D66"/>
    <w:rsid w:val="000D1B25"/>
    <w:rsid w:val="000D35CC"/>
    <w:rsid w:val="000E6E70"/>
    <w:rsid w:val="000F2457"/>
    <w:rsid w:val="000F2635"/>
    <w:rsid w:val="000F7B4B"/>
    <w:rsid w:val="0010546E"/>
    <w:rsid w:val="001109DF"/>
    <w:rsid w:val="00111B12"/>
    <w:rsid w:val="00116850"/>
    <w:rsid w:val="00117712"/>
    <w:rsid w:val="001311A1"/>
    <w:rsid w:val="0014378E"/>
    <w:rsid w:val="00146355"/>
    <w:rsid w:val="001504C7"/>
    <w:rsid w:val="00151F7C"/>
    <w:rsid w:val="001554BD"/>
    <w:rsid w:val="00156188"/>
    <w:rsid w:val="00160161"/>
    <w:rsid w:val="001625B6"/>
    <w:rsid w:val="001655FE"/>
    <w:rsid w:val="001662CE"/>
    <w:rsid w:val="00172A97"/>
    <w:rsid w:val="00176E9B"/>
    <w:rsid w:val="00193F3C"/>
    <w:rsid w:val="001945E2"/>
    <w:rsid w:val="001A3C26"/>
    <w:rsid w:val="001B4918"/>
    <w:rsid w:val="001C03B3"/>
    <w:rsid w:val="001D748C"/>
    <w:rsid w:val="001E150B"/>
    <w:rsid w:val="001F2D87"/>
    <w:rsid w:val="001F5C05"/>
    <w:rsid w:val="00202DDE"/>
    <w:rsid w:val="00203E71"/>
    <w:rsid w:val="00205016"/>
    <w:rsid w:val="00215188"/>
    <w:rsid w:val="00235AAF"/>
    <w:rsid w:val="00237989"/>
    <w:rsid w:val="00241775"/>
    <w:rsid w:val="00247720"/>
    <w:rsid w:val="00264816"/>
    <w:rsid w:val="002668CE"/>
    <w:rsid w:val="0026717B"/>
    <w:rsid w:val="00277059"/>
    <w:rsid w:val="002777A1"/>
    <w:rsid w:val="00294F77"/>
    <w:rsid w:val="00295B0E"/>
    <w:rsid w:val="00297420"/>
    <w:rsid w:val="002A7D1D"/>
    <w:rsid w:val="002C2F06"/>
    <w:rsid w:val="002D2FB0"/>
    <w:rsid w:val="002D6424"/>
    <w:rsid w:val="002E64D9"/>
    <w:rsid w:val="002F11A4"/>
    <w:rsid w:val="002F18EE"/>
    <w:rsid w:val="0030224E"/>
    <w:rsid w:val="003103A7"/>
    <w:rsid w:val="00313D56"/>
    <w:rsid w:val="0032039D"/>
    <w:rsid w:val="003268AC"/>
    <w:rsid w:val="003328C7"/>
    <w:rsid w:val="00335374"/>
    <w:rsid w:val="0034014B"/>
    <w:rsid w:val="003440D8"/>
    <w:rsid w:val="003537C9"/>
    <w:rsid w:val="00361380"/>
    <w:rsid w:val="00366A45"/>
    <w:rsid w:val="00386D72"/>
    <w:rsid w:val="003901E4"/>
    <w:rsid w:val="003A0F44"/>
    <w:rsid w:val="003A1425"/>
    <w:rsid w:val="003A1794"/>
    <w:rsid w:val="003A5B0B"/>
    <w:rsid w:val="003A7E16"/>
    <w:rsid w:val="003B5EA5"/>
    <w:rsid w:val="003B5FDA"/>
    <w:rsid w:val="003C5A06"/>
    <w:rsid w:val="003E4BC5"/>
    <w:rsid w:val="003F58B5"/>
    <w:rsid w:val="003F6416"/>
    <w:rsid w:val="00404C7F"/>
    <w:rsid w:val="004068AC"/>
    <w:rsid w:val="00415606"/>
    <w:rsid w:val="00420DAE"/>
    <w:rsid w:val="00420F69"/>
    <w:rsid w:val="00452035"/>
    <w:rsid w:val="00454F43"/>
    <w:rsid w:val="00464CB5"/>
    <w:rsid w:val="00472504"/>
    <w:rsid w:val="004732EB"/>
    <w:rsid w:val="004901D8"/>
    <w:rsid w:val="00490B20"/>
    <w:rsid w:val="004A0721"/>
    <w:rsid w:val="004A7C8A"/>
    <w:rsid w:val="004C0638"/>
    <w:rsid w:val="004C1C51"/>
    <w:rsid w:val="004C7FC3"/>
    <w:rsid w:val="004E066C"/>
    <w:rsid w:val="004E1E4F"/>
    <w:rsid w:val="004F1381"/>
    <w:rsid w:val="004F2F99"/>
    <w:rsid w:val="004F67A9"/>
    <w:rsid w:val="0050145C"/>
    <w:rsid w:val="00502AEA"/>
    <w:rsid w:val="00504BD5"/>
    <w:rsid w:val="005064EC"/>
    <w:rsid w:val="00527401"/>
    <w:rsid w:val="00543EEF"/>
    <w:rsid w:val="00556DBE"/>
    <w:rsid w:val="00561854"/>
    <w:rsid w:val="00564D03"/>
    <w:rsid w:val="00570B58"/>
    <w:rsid w:val="00571CD9"/>
    <w:rsid w:val="00572625"/>
    <w:rsid w:val="00572CEF"/>
    <w:rsid w:val="00580C95"/>
    <w:rsid w:val="005874FA"/>
    <w:rsid w:val="00595F56"/>
    <w:rsid w:val="005C123C"/>
    <w:rsid w:val="005C1DF2"/>
    <w:rsid w:val="005D1D31"/>
    <w:rsid w:val="005E4A71"/>
    <w:rsid w:val="00600F7E"/>
    <w:rsid w:val="00602F5E"/>
    <w:rsid w:val="006052B2"/>
    <w:rsid w:val="006256EF"/>
    <w:rsid w:val="00626451"/>
    <w:rsid w:val="00626796"/>
    <w:rsid w:val="00631AD4"/>
    <w:rsid w:val="00637A0E"/>
    <w:rsid w:val="00645EDA"/>
    <w:rsid w:val="00653A8E"/>
    <w:rsid w:val="00654A6D"/>
    <w:rsid w:val="006554AC"/>
    <w:rsid w:val="00661C1A"/>
    <w:rsid w:val="0066205E"/>
    <w:rsid w:val="0066233F"/>
    <w:rsid w:val="0066609D"/>
    <w:rsid w:val="0067226F"/>
    <w:rsid w:val="00672F04"/>
    <w:rsid w:val="006778EA"/>
    <w:rsid w:val="00677BF1"/>
    <w:rsid w:val="00681459"/>
    <w:rsid w:val="0068601B"/>
    <w:rsid w:val="00686519"/>
    <w:rsid w:val="00687B37"/>
    <w:rsid w:val="006A0859"/>
    <w:rsid w:val="006A436F"/>
    <w:rsid w:val="006A44B3"/>
    <w:rsid w:val="006A6196"/>
    <w:rsid w:val="006A777F"/>
    <w:rsid w:val="006D48DB"/>
    <w:rsid w:val="006E34E6"/>
    <w:rsid w:val="006E6A3E"/>
    <w:rsid w:val="00700067"/>
    <w:rsid w:val="00702090"/>
    <w:rsid w:val="00702F07"/>
    <w:rsid w:val="00706F0A"/>
    <w:rsid w:val="0071094E"/>
    <w:rsid w:val="00711B05"/>
    <w:rsid w:val="0071249E"/>
    <w:rsid w:val="00715DA5"/>
    <w:rsid w:val="00726462"/>
    <w:rsid w:val="00735BE6"/>
    <w:rsid w:val="0074118A"/>
    <w:rsid w:val="00741637"/>
    <w:rsid w:val="00743DC8"/>
    <w:rsid w:val="00751504"/>
    <w:rsid w:val="007516BD"/>
    <w:rsid w:val="00765EAE"/>
    <w:rsid w:val="007801AA"/>
    <w:rsid w:val="00783ADE"/>
    <w:rsid w:val="00792B1F"/>
    <w:rsid w:val="0079713A"/>
    <w:rsid w:val="007A7104"/>
    <w:rsid w:val="007B4949"/>
    <w:rsid w:val="007C66F8"/>
    <w:rsid w:val="007C6711"/>
    <w:rsid w:val="007D06B5"/>
    <w:rsid w:val="007D0C3E"/>
    <w:rsid w:val="007F513D"/>
    <w:rsid w:val="007F6A32"/>
    <w:rsid w:val="007F6C18"/>
    <w:rsid w:val="007F7287"/>
    <w:rsid w:val="007F7790"/>
    <w:rsid w:val="00800910"/>
    <w:rsid w:val="008016EB"/>
    <w:rsid w:val="00807D60"/>
    <w:rsid w:val="008206B4"/>
    <w:rsid w:val="0082197E"/>
    <w:rsid w:val="00832A54"/>
    <w:rsid w:val="00832D61"/>
    <w:rsid w:val="008347AD"/>
    <w:rsid w:val="0083499D"/>
    <w:rsid w:val="00835991"/>
    <w:rsid w:val="008436E3"/>
    <w:rsid w:val="00850FB1"/>
    <w:rsid w:val="0085178A"/>
    <w:rsid w:val="00867933"/>
    <w:rsid w:val="00870E3E"/>
    <w:rsid w:val="008847F6"/>
    <w:rsid w:val="008B2BD3"/>
    <w:rsid w:val="008B593D"/>
    <w:rsid w:val="008C32C0"/>
    <w:rsid w:val="008D76D6"/>
    <w:rsid w:val="008F0B46"/>
    <w:rsid w:val="00900B5C"/>
    <w:rsid w:val="009014A2"/>
    <w:rsid w:val="00905261"/>
    <w:rsid w:val="009170A1"/>
    <w:rsid w:val="00925413"/>
    <w:rsid w:val="0093610F"/>
    <w:rsid w:val="00943E37"/>
    <w:rsid w:val="0094583C"/>
    <w:rsid w:val="00952DB0"/>
    <w:rsid w:val="00953965"/>
    <w:rsid w:val="00961D82"/>
    <w:rsid w:val="00963904"/>
    <w:rsid w:val="0097363E"/>
    <w:rsid w:val="00982198"/>
    <w:rsid w:val="009833DA"/>
    <w:rsid w:val="00991455"/>
    <w:rsid w:val="00991806"/>
    <w:rsid w:val="00997C38"/>
    <w:rsid w:val="009A6266"/>
    <w:rsid w:val="009B1571"/>
    <w:rsid w:val="009C2559"/>
    <w:rsid w:val="009C2AA2"/>
    <w:rsid w:val="009C5A49"/>
    <w:rsid w:val="009E754A"/>
    <w:rsid w:val="009F003B"/>
    <w:rsid w:val="009F4926"/>
    <w:rsid w:val="009F5669"/>
    <w:rsid w:val="009F586A"/>
    <w:rsid w:val="009F6A0C"/>
    <w:rsid w:val="009F7B33"/>
    <w:rsid w:val="00A10283"/>
    <w:rsid w:val="00A2008C"/>
    <w:rsid w:val="00A20124"/>
    <w:rsid w:val="00A242BF"/>
    <w:rsid w:val="00A2507A"/>
    <w:rsid w:val="00A43270"/>
    <w:rsid w:val="00A43F24"/>
    <w:rsid w:val="00A4505B"/>
    <w:rsid w:val="00A45A0E"/>
    <w:rsid w:val="00A55B2A"/>
    <w:rsid w:val="00A7040D"/>
    <w:rsid w:val="00A73035"/>
    <w:rsid w:val="00A85A6B"/>
    <w:rsid w:val="00A90659"/>
    <w:rsid w:val="00A91787"/>
    <w:rsid w:val="00A9298A"/>
    <w:rsid w:val="00A92D8F"/>
    <w:rsid w:val="00AA15D4"/>
    <w:rsid w:val="00AA4839"/>
    <w:rsid w:val="00AA4AFF"/>
    <w:rsid w:val="00AA6D16"/>
    <w:rsid w:val="00AA6ED3"/>
    <w:rsid w:val="00AB2A59"/>
    <w:rsid w:val="00AC1E01"/>
    <w:rsid w:val="00AC2299"/>
    <w:rsid w:val="00AC5F21"/>
    <w:rsid w:val="00AC687C"/>
    <w:rsid w:val="00AD46B7"/>
    <w:rsid w:val="00AE79D9"/>
    <w:rsid w:val="00B02AB3"/>
    <w:rsid w:val="00B05818"/>
    <w:rsid w:val="00B1041B"/>
    <w:rsid w:val="00B10617"/>
    <w:rsid w:val="00B109E5"/>
    <w:rsid w:val="00B21E52"/>
    <w:rsid w:val="00B2417A"/>
    <w:rsid w:val="00B26AA5"/>
    <w:rsid w:val="00B41098"/>
    <w:rsid w:val="00B5009B"/>
    <w:rsid w:val="00B52814"/>
    <w:rsid w:val="00B54797"/>
    <w:rsid w:val="00B57E56"/>
    <w:rsid w:val="00B62958"/>
    <w:rsid w:val="00B654F3"/>
    <w:rsid w:val="00B91FA3"/>
    <w:rsid w:val="00BB1EAD"/>
    <w:rsid w:val="00BC35C3"/>
    <w:rsid w:val="00BC465C"/>
    <w:rsid w:val="00BC4E3A"/>
    <w:rsid w:val="00BC54F8"/>
    <w:rsid w:val="00BF5954"/>
    <w:rsid w:val="00C142A4"/>
    <w:rsid w:val="00C15E36"/>
    <w:rsid w:val="00C23C75"/>
    <w:rsid w:val="00C26689"/>
    <w:rsid w:val="00C444BA"/>
    <w:rsid w:val="00C5229A"/>
    <w:rsid w:val="00C55B84"/>
    <w:rsid w:val="00C75769"/>
    <w:rsid w:val="00C829E3"/>
    <w:rsid w:val="00C83305"/>
    <w:rsid w:val="00C85CE4"/>
    <w:rsid w:val="00C94A19"/>
    <w:rsid w:val="00C95185"/>
    <w:rsid w:val="00C97685"/>
    <w:rsid w:val="00CA2FCA"/>
    <w:rsid w:val="00CC0492"/>
    <w:rsid w:val="00CC30E9"/>
    <w:rsid w:val="00CC74D2"/>
    <w:rsid w:val="00CD5301"/>
    <w:rsid w:val="00CD61D9"/>
    <w:rsid w:val="00CD7D90"/>
    <w:rsid w:val="00D01AA3"/>
    <w:rsid w:val="00D144FF"/>
    <w:rsid w:val="00D31255"/>
    <w:rsid w:val="00D33986"/>
    <w:rsid w:val="00D3495C"/>
    <w:rsid w:val="00D35F16"/>
    <w:rsid w:val="00D64637"/>
    <w:rsid w:val="00D740AF"/>
    <w:rsid w:val="00D748D4"/>
    <w:rsid w:val="00D81CED"/>
    <w:rsid w:val="00D97309"/>
    <w:rsid w:val="00D97428"/>
    <w:rsid w:val="00DA260E"/>
    <w:rsid w:val="00DA4570"/>
    <w:rsid w:val="00DA4945"/>
    <w:rsid w:val="00DB370C"/>
    <w:rsid w:val="00DC7150"/>
    <w:rsid w:val="00DC78E9"/>
    <w:rsid w:val="00DD7F92"/>
    <w:rsid w:val="00DE070F"/>
    <w:rsid w:val="00DF4C88"/>
    <w:rsid w:val="00DF7C4E"/>
    <w:rsid w:val="00E03D5C"/>
    <w:rsid w:val="00E05257"/>
    <w:rsid w:val="00E118D2"/>
    <w:rsid w:val="00E12210"/>
    <w:rsid w:val="00E231DF"/>
    <w:rsid w:val="00E43378"/>
    <w:rsid w:val="00E513DA"/>
    <w:rsid w:val="00E57E5D"/>
    <w:rsid w:val="00E6102E"/>
    <w:rsid w:val="00E75707"/>
    <w:rsid w:val="00E76B77"/>
    <w:rsid w:val="00E86C03"/>
    <w:rsid w:val="00E92876"/>
    <w:rsid w:val="00E9595B"/>
    <w:rsid w:val="00EA2A2B"/>
    <w:rsid w:val="00EA40EB"/>
    <w:rsid w:val="00EA630C"/>
    <w:rsid w:val="00EB2162"/>
    <w:rsid w:val="00EC04F0"/>
    <w:rsid w:val="00ED36CA"/>
    <w:rsid w:val="00ED499B"/>
    <w:rsid w:val="00ED6037"/>
    <w:rsid w:val="00F007B7"/>
    <w:rsid w:val="00F12ADC"/>
    <w:rsid w:val="00F17925"/>
    <w:rsid w:val="00F27E8F"/>
    <w:rsid w:val="00F36ED2"/>
    <w:rsid w:val="00F42908"/>
    <w:rsid w:val="00F42963"/>
    <w:rsid w:val="00F42BBB"/>
    <w:rsid w:val="00F73637"/>
    <w:rsid w:val="00F7716B"/>
    <w:rsid w:val="00F923C7"/>
    <w:rsid w:val="00F93224"/>
    <w:rsid w:val="00F979A0"/>
    <w:rsid w:val="00FB1F60"/>
    <w:rsid w:val="00FB5AD4"/>
    <w:rsid w:val="00FD088B"/>
    <w:rsid w:val="00FD0CB2"/>
    <w:rsid w:val="00FD4A5B"/>
    <w:rsid w:val="00FD5324"/>
    <w:rsid w:val="00FF1E9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C9BE"/>
  <w15:docId w15:val="{AEF30536-903C-4116-95A2-1386CF4F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4E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7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B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37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4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5E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4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5E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2595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mkondratenko</dc:creator>
  <cp:lastModifiedBy>Potrzeba Barbara</cp:lastModifiedBy>
  <cp:revision>18</cp:revision>
  <cp:lastPrinted>2021-05-28T11:23:00Z</cp:lastPrinted>
  <dcterms:created xsi:type="dcterms:W3CDTF">2021-04-16T12:48:00Z</dcterms:created>
  <dcterms:modified xsi:type="dcterms:W3CDTF">2021-05-31T12:05:00Z</dcterms:modified>
</cp:coreProperties>
</file>