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1F52BEF5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7B90EFCB" w:rsidR="00734A51" w:rsidRPr="007C2767" w:rsidRDefault="00734A51" w:rsidP="009C7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="009C71C8">
        <w:rPr>
          <w:rFonts w:ascii="Times New Roman" w:hAnsi="Times New Roman"/>
          <w:sz w:val="24"/>
          <w:szCs w:val="24"/>
        </w:rPr>
        <w:t>c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415E5A6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 xml:space="preserve">projekt dla zadania nr </w:t>
      </w:r>
      <w:r w:rsidR="009C71C8">
        <w:rPr>
          <w:rFonts w:ascii="Times New Roman" w:hAnsi="Times New Roman"/>
          <w:b/>
          <w:bCs/>
          <w:sz w:val="24"/>
          <w:szCs w:val="24"/>
        </w:rPr>
        <w:t>4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3464453B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07343F">
        <w:rPr>
          <w:szCs w:val="24"/>
        </w:rPr>
        <w:t xml:space="preserve">nieruchomościach oraz na terenach wokół nieruchomości, </w:t>
      </w:r>
      <w:r w:rsidR="009C71C8">
        <w:rPr>
          <w:szCs w:val="24"/>
        </w:rPr>
        <w:t>stanowiących</w:t>
      </w:r>
      <w:r w:rsidR="0007343F">
        <w:rPr>
          <w:szCs w:val="24"/>
        </w:rPr>
        <w:t xml:space="preserve"> własnoś</w:t>
      </w:r>
      <w:r w:rsidR="009C71C8">
        <w:rPr>
          <w:szCs w:val="24"/>
        </w:rPr>
        <w:t>ć Gminy Miasto Świnoujście.</w:t>
      </w:r>
    </w:p>
    <w:p w14:paraId="1C30C61C" w14:textId="05C0C6C6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9C71C8">
        <w:rPr>
          <w:szCs w:val="24"/>
        </w:rPr>
        <w:t>c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lastRenderedPageBreak/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D235C1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D235C1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D235C1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37D60183" w:rsidR="003E4FF7" w:rsidRDefault="003E4FF7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budynków</w:t>
      </w:r>
      <w:r w:rsidR="001C41F8">
        <w:rPr>
          <w:rFonts w:eastAsia="SimSun"/>
          <w:kern w:val="3"/>
          <w:szCs w:val="24"/>
          <w:lang w:eastAsia="hi-IN" w:bidi="hi-IN"/>
        </w:rPr>
        <w:t xml:space="preserve"> mieszkalnych</w:t>
      </w:r>
      <w:r>
        <w:rPr>
          <w:rFonts w:eastAsia="SimSun"/>
          <w:kern w:val="3"/>
          <w:szCs w:val="24"/>
          <w:lang w:eastAsia="hi-IN" w:bidi="hi-IN"/>
        </w:rPr>
        <w:t xml:space="preserve"> (powierzchnia </w:t>
      </w:r>
      <w:r w:rsidR="009C71C8">
        <w:rPr>
          <w:rFonts w:eastAsia="SimSun"/>
          <w:kern w:val="3"/>
          <w:szCs w:val="24"/>
          <w:lang w:eastAsia="hi-IN" w:bidi="hi-IN"/>
        </w:rPr>
        <w:t>1736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 x </w:t>
      </w:r>
      <w:r w:rsidR="009C71C8">
        <w:rPr>
          <w:rFonts w:eastAsia="SimSun"/>
          <w:kern w:val="3"/>
          <w:szCs w:val="24"/>
          <w:lang w:eastAsia="hi-IN" w:bidi="hi-IN"/>
        </w:rPr>
        <w:t>1736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>
        <w:rPr>
          <w:rFonts w:eastAsia="SimSun"/>
          <w:kern w:val="3"/>
          <w:szCs w:val="24"/>
          <w:lang w:eastAsia="hi-IN" w:bidi="hi-IN"/>
        </w:rPr>
        <w:t xml:space="preserve"> VAT</w:t>
      </w:r>
      <w:r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</w:t>
      </w:r>
      <w:r w:rsidRPr="00776B22">
        <w:rPr>
          <w:rFonts w:eastAsia="SimSun"/>
          <w:kern w:val="3"/>
          <w:szCs w:val="24"/>
          <w:lang w:eastAsia="hi-IN" w:bidi="hi-IN"/>
        </w:rPr>
        <w:t>ni</w:t>
      </w:r>
      <w:r>
        <w:rPr>
          <w:rFonts w:eastAsia="SimSun"/>
          <w:kern w:val="3"/>
          <w:szCs w:val="24"/>
          <w:lang w:eastAsia="hi-IN" w:bidi="hi-IN"/>
        </w:rPr>
        <w:t>e</w:t>
      </w:r>
      <w:r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Pr="00776B22">
        <w:rPr>
          <w:rFonts w:eastAsia="SimSun"/>
          <w:kern w:val="3"/>
          <w:szCs w:val="24"/>
          <w:lang w:eastAsia="hi-IN" w:bidi="hi-IN"/>
        </w:rPr>
        <w:t xml:space="preserve"> wynagrodzenie ryczałtowe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428070EB" w:rsidR="003E4FF7" w:rsidRPr="00572930" w:rsidRDefault="00633B0C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bookmarkStart w:id="1" w:name="_Hlk28264779"/>
      <w:r>
        <w:rPr>
          <w:rFonts w:eastAsia="SimSun"/>
          <w:kern w:val="3"/>
          <w:szCs w:val="24"/>
          <w:lang w:eastAsia="hi-IN" w:bidi="hi-IN"/>
        </w:rPr>
        <w:t xml:space="preserve">terenów </w:t>
      </w:r>
      <w:bookmarkEnd w:id="1"/>
      <w:r>
        <w:rPr>
          <w:rFonts w:eastAsia="SimSun"/>
          <w:kern w:val="3"/>
          <w:szCs w:val="24"/>
          <w:lang w:eastAsia="hi-IN" w:bidi="hi-IN"/>
        </w:rPr>
        <w:t>wokół</w:t>
      </w:r>
      <w:r w:rsidR="003E4FF7">
        <w:rPr>
          <w:rFonts w:eastAsia="SimSun"/>
          <w:kern w:val="3"/>
          <w:szCs w:val="24"/>
          <w:lang w:eastAsia="hi-IN" w:bidi="hi-IN"/>
        </w:rPr>
        <w:t xml:space="preserve"> budynków ( powierzchnia </w:t>
      </w:r>
      <w:r w:rsidR="009C71C8">
        <w:rPr>
          <w:rFonts w:eastAsia="SimSun"/>
          <w:kern w:val="3"/>
          <w:szCs w:val="24"/>
          <w:lang w:eastAsia="hi-IN" w:bidi="hi-IN"/>
        </w:rPr>
        <w:t>7588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x  </w:t>
      </w:r>
      <w:r w:rsidR="009C71C8">
        <w:rPr>
          <w:rFonts w:eastAsia="SimSun"/>
          <w:kern w:val="3"/>
          <w:szCs w:val="24"/>
          <w:lang w:eastAsia="hi-IN" w:bidi="hi-IN"/>
        </w:rPr>
        <w:t>7588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9C71C8">
        <w:rPr>
          <w:rFonts w:eastAsia="SimSun"/>
          <w:kern w:val="3"/>
          <w:szCs w:val="24"/>
          <w:lang w:eastAsia="hi-IN" w:bidi="hi-IN"/>
        </w:rPr>
        <w:t xml:space="preserve">           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…..%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 w:rsidR="00782577">
        <w:rPr>
          <w:rFonts w:eastAsia="SimSun"/>
          <w:kern w:val="3"/>
          <w:szCs w:val="24"/>
          <w:lang w:eastAsia="hi-IN" w:bidi="hi-IN"/>
        </w:rPr>
        <w:t>.</w:t>
      </w:r>
    </w:p>
    <w:p w14:paraId="1C6A889D" w14:textId="5B2150E9" w:rsidR="00572930" w:rsidRDefault="00572930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Za usługi zgłoszone na dodatkowe </w:t>
      </w:r>
      <w:r w:rsidR="00F93E22">
        <w:rPr>
          <w:rFonts w:eastAsia="SimSun"/>
          <w:kern w:val="3"/>
          <w:szCs w:val="24"/>
          <w:lang w:eastAsia="hi-IN" w:bidi="hi-IN"/>
        </w:rPr>
        <w:t>zgłoszenie Strony ustalają wynagrodzenie w wysokości:</w:t>
      </w:r>
    </w:p>
    <w:p w14:paraId="2829D037" w14:textId="03CF4A9A" w:rsidR="00F93E22" w:rsidRDefault="00F93E22" w:rsidP="00F93E22">
      <w:pPr>
        <w:pStyle w:val="Akapitzlist"/>
        <w:widowControl w:val="0"/>
        <w:numPr>
          <w:ilvl w:val="0"/>
          <w:numId w:val="34"/>
        </w:numPr>
        <w:suppressAutoHyphens/>
        <w:ind w:left="1560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za usługi świadczone w zakresie lokali (powierzchnia 500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 zł/m</w:t>
      </w:r>
      <w:r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>;</w:t>
      </w:r>
    </w:p>
    <w:p w14:paraId="426D9ABC" w14:textId="77D7C72D" w:rsidR="00F93E22" w:rsidRDefault="00F93E22" w:rsidP="00F93E22">
      <w:pPr>
        <w:pStyle w:val="Akapitzlist"/>
        <w:widowControl w:val="0"/>
        <w:numPr>
          <w:ilvl w:val="0"/>
          <w:numId w:val="34"/>
        </w:numPr>
        <w:suppressAutoHyphens/>
        <w:ind w:left="1560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za usługi świadczone w zakresie posesji (powierzchnia </w:t>
      </w:r>
      <w:r w:rsidR="009C71C8">
        <w:rPr>
          <w:rFonts w:eastAsia="SimSun"/>
          <w:kern w:val="3"/>
          <w:szCs w:val="24"/>
          <w:lang w:eastAsia="hi-IN" w:bidi="hi-IN"/>
        </w:rPr>
        <w:t>13 306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>)</w:t>
      </w:r>
      <w:r w:rsidR="00D235C1">
        <w:rPr>
          <w:rFonts w:eastAsia="SimSun"/>
          <w:kern w:val="3"/>
          <w:szCs w:val="24"/>
          <w:lang w:eastAsia="hi-IN" w:bidi="hi-IN"/>
        </w:rPr>
        <w:t xml:space="preserve">                         w wysokości …….. </w:t>
      </w:r>
      <w:r w:rsidR="00D235C1" w:rsidRPr="00D235C1">
        <w:rPr>
          <w:rFonts w:eastAsia="SimSun"/>
          <w:b/>
          <w:bCs/>
          <w:kern w:val="3"/>
          <w:szCs w:val="24"/>
          <w:lang w:eastAsia="hi-IN" w:bidi="hi-IN"/>
        </w:rPr>
        <w:t>zł/m</w:t>
      </w:r>
      <w:r w:rsidR="00D235C1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D235C1">
        <w:rPr>
          <w:rFonts w:eastAsia="SimSun"/>
          <w:kern w:val="3"/>
          <w:szCs w:val="24"/>
          <w:lang w:eastAsia="hi-IN" w:bidi="hi-IN"/>
        </w:rPr>
        <w:t>.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2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</w:t>
      </w:r>
      <w:r>
        <w:rPr>
          <w:rFonts w:eastAsia="SimSun"/>
          <w:kern w:val="3"/>
          <w:szCs w:val="24"/>
          <w:lang w:eastAsia="hi-IN" w:bidi="hi-IN"/>
        </w:rPr>
        <w:lastRenderedPageBreak/>
        <w:t xml:space="preserve">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2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28FD25C8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profesjonalne środki chemiczne czyszczące, zabezpieczające do różnego rodzaju powierzchni, do mycia toalet, usuwające kamień, rdzę i inne uporczywe zabrudzenia, środki do mycia szyb.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5E3AABD9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F18" w14:textId="1CE7077B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508F1A29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opóźnieni</w:t>
      </w:r>
      <w:r w:rsidR="00257408">
        <w:t>a</w:t>
      </w:r>
      <w:r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EB29A0">
        <w:t xml:space="preserve">za każdy dzień </w:t>
      </w:r>
      <w:r w:rsidR="00B852B7">
        <w:t>opóźn</w:t>
      </w:r>
      <w:r w:rsidR="00EB29A0">
        <w:t>i</w:t>
      </w:r>
      <w:r w:rsidR="00B852B7">
        <w:t>enia</w:t>
      </w:r>
      <w:r w:rsidR="00EB29A0">
        <w:t xml:space="preserve"> w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0AB24CD3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257408">
        <w:t>3</w:t>
      </w:r>
      <w:r w:rsidRPr="0077108D">
        <w:t>;</w:t>
      </w:r>
    </w:p>
    <w:p w14:paraId="13FD26BC" w14:textId="7539FC23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257408">
        <w:t>3</w:t>
      </w:r>
      <w:r w:rsidR="00E65026">
        <w:t>;</w:t>
      </w:r>
    </w:p>
    <w:p w14:paraId="7032D511" w14:textId="560CE4A1" w:rsidR="008E5180" w:rsidRPr="0077108D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27CFA2DB" w:rsidR="008E5180" w:rsidRDefault="00B852B7" w:rsidP="00257408">
      <w:pPr>
        <w:pStyle w:val="Tekstpodstawowy"/>
        <w:numPr>
          <w:ilvl w:val="0"/>
          <w:numId w:val="23"/>
        </w:numPr>
        <w:suppressAutoHyphens w:val="0"/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>czynności 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opóźnienia.</w:t>
      </w:r>
    </w:p>
    <w:p w14:paraId="495D0C6E" w14:textId="3C6A51DF" w:rsidR="008E5180" w:rsidRPr="0077108D" w:rsidRDefault="009D3935" w:rsidP="00B852B7">
      <w:pPr>
        <w:pStyle w:val="Tekstpodstawowy"/>
        <w:numPr>
          <w:ilvl w:val="0"/>
          <w:numId w:val="35"/>
        </w:numPr>
        <w:suppressAutoHyphens w:val="0"/>
        <w:spacing w:line="276" w:lineRule="auto"/>
        <w:ind w:left="426"/>
      </w:pPr>
      <w:bookmarkStart w:id="3" w:name="_GoBack"/>
      <w:bookmarkEnd w:id="3"/>
      <w:r>
        <w:t>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69D345DE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  w  trybie natychmiastowym bez wypowiedzen</w:t>
      </w:r>
      <w:r>
        <w:t xml:space="preserve">ia </w:t>
      </w:r>
      <w:r w:rsidR="000249DF">
        <w:t xml:space="preserve">       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0249DF">
        <w:t xml:space="preserve">    </w:t>
      </w:r>
      <w:r w:rsidRPr="0077108D">
        <w:t xml:space="preserve">w szczególności gdy </w:t>
      </w:r>
      <w:r>
        <w:t>W</w:t>
      </w:r>
      <w:r w:rsidRPr="0077108D">
        <w:t xml:space="preserve">ykonawca ze swojej winy całkowicie zaprzestanie świadczenia usług </w:t>
      </w:r>
      <w:r w:rsidR="000249DF">
        <w:t xml:space="preserve">    </w:t>
      </w:r>
      <w:r w:rsidRPr="0077108D"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73BA2" w14:textId="769A5989" w:rsidR="00734A51" w:rsidRDefault="00734A51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1A69C3A6" w14:textId="77777777" w:rsidR="00BB0147" w:rsidRPr="00A3144F" w:rsidRDefault="00BB0147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31B4" w14:textId="77777777" w:rsidR="00F77EBA" w:rsidRDefault="00F77EBA">
      <w:pPr>
        <w:spacing w:after="0" w:line="240" w:lineRule="auto"/>
      </w:pPr>
      <w:r>
        <w:separator/>
      </w:r>
    </w:p>
  </w:endnote>
  <w:endnote w:type="continuationSeparator" w:id="0">
    <w:p w14:paraId="233BFE0B" w14:textId="77777777" w:rsidR="00F77EBA" w:rsidRDefault="00F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5728D9" w:rsidRDefault="005728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2B7">
      <w:rPr>
        <w:noProof/>
      </w:rPr>
      <w:t>6</w:t>
    </w:r>
    <w:r>
      <w:fldChar w:fldCharType="end"/>
    </w:r>
  </w:p>
  <w:p w14:paraId="04FB1C02" w14:textId="77777777" w:rsidR="005728D9" w:rsidRDefault="00572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2E66" w14:textId="77777777" w:rsidR="00F77EBA" w:rsidRDefault="00F77EBA">
      <w:pPr>
        <w:spacing w:after="0" w:line="240" w:lineRule="auto"/>
      </w:pPr>
      <w:r>
        <w:separator/>
      </w:r>
    </w:p>
  </w:footnote>
  <w:footnote w:type="continuationSeparator" w:id="0">
    <w:p w14:paraId="366E0197" w14:textId="77777777" w:rsidR="00F77EBA" w:rsidRDefault="00F7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2B0"/>
    <w:multiLevelType w:val="hybridMultilevel"/>
    <w:tmpl w:val="1E96B330"/>
    <w:lvl w:ilvl="0" w:tplc="5CDCBBF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9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6"/>
  </w:num>
  <w:num w:numId="12">
    <w:abstractNumId w:val="29"/>
  </w:num>
  <w:num w:numId="13">
    <w:abstractNumId w:val="14"/>
  </w:num>
  <w:num w:numId="14">
    <w:abstractNumId w:val="1"/>
  </w:num>
  <w:num w:numId="15">
    <w:abstractNumId w:val="36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28"/>
  </w:num>
  <w:num w:numId="21">
    <w:abstractNumId w:val="34"/>
  </w:num>
  <w:num w:numId="22">
    <w:abstractNumId w:val="20"/>
  </w:num>
  <w:num w:numId="23">
    <w:abstractNumId w:val="32"/>
  </w:num>
  <w:num w:numId="24">
    <w:abstractNumId w:val="26"/>
  </w:num>
  <w:num w:numId="25">
    <w:abstractNumId w:val="10"/>
  </w:num>
  <w:num w:numId="26">
    <w:abstractNumId w:val="30"/>
  </w:num>
  <w:num w:numId="27">
    <w:abstractNumId w:val="33"/>
  </w:num>
  <w:num w:numId="28">
    <w:abstractNumId w:val="15"/>
  </w:num>
  <w:num w:numId="29">
    <w:abstractNumId w:val="17"/>
  </w:num>
  <w:num w:numId="30">
    <w:abstractNumId w:val="18"/>
  </w:num>
  <w:num w:numId="31">
    <w:abstractNumId w:val="3"/>
  </w:num>
  <w:num w:numId="32">
    <w:abstractNumId w:val="23"/>
  </w:num>
  <w:num w:numId="33">
    <w:abstractNumId w:val="7"/>
  </w:num>
  <w:num w:numId="34">
    <w:abstractNumId w:val="19"/>
  </w:num>
  <w:num w:numId="35">
    <w:abstractNumId w:val="2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B5"/>
    <w:rsid w:val="002C43E8"/>
    <w:rsid w:val="003176ED"/>
    <w:rsid w:val="00317816"/>
    <w:rsid w:val="003266F1"/>
    <w:rsid w:val="00331ADE"/>
    <w:rsid w:val="00334970"/>
    <w:rsid w:val="0033540C"/>
    <w:rsid w:val="003B3074"/>
    <w:rsid w:val="003D6BC4"/>
    <w:rsid w:val="003E4FF7"/>
    <w:rsid w:val="0040270D"/>
    <w:rsid w:val="00425460"/>
    <w:rsid w:val="004466C8"/>
    <w:rsid w:val="0044738F"/>
    <w:rsid w:val="004551B7"/>
    <w:rsid w:val="00494E86"/>
    <w:rsid w:val="004A3ED5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851E9"/>
    <w:rsid w:val="005B1CC4"/>
    <w:rsid w:val="005D4B20"/>
    <w:rsid w:val="006247C5"/>
    <w:rsid w:val="00633B0C"/>
    <w:rsid w:val="00637A4F"/>
    <w:rsid w:val="00643DF1"/>
    <w:rsid w:val="00644291"/>
    <w:rsid w:val="00656193"/>
    <w:rsid w:val="00682F7A"/>
    <w:rsid w:val="00697325"/>
    <w:rsid w:val="006A2BDF"/>
    <w:rsid w:val="006E7EEC"/>
    <w:rsid w:val="007008E5"/>
    <w:rsid w:val="00734A51"/>
    <w:rsid w:val="00741337"/>
    <w:rsid w:val="007470CE"/>
    <w:rsid w:val="0075486F"/>
    <w:rsid w:val="00754AF0"/>
    <w:rsid w:val="0077540C"/>
    <w:rsid w:val="00782577"/>
    <w:rsid w:val="00786B69"/>
    <w:rsid w:val="00787435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C71C8"/>
    <w:rsid w:val="009D3935"/>
    <w:rsid w:val="00A44E5B"/>
    <w:rsid w:val="00A47D64"/>
    <w:rsid w:val="00A50FD6"/>
    <w:rsid w:val="00A605A0"/>
    <w:rsid w:val="00A70D74"/>
    <w:rsid w:val="00A7191B"/>
    <w:rsid w:val="00AB4594"/>
    <w:rsid w:val="00AC5520"/>
    <w:rsid w:val="00AC7761"/>
    <w:rsid w:val="00AD51DE"/>
    <w:rsid w:val="00AE5DC0"/>
    <w:rsid w:val="00B13975"/>
    <w:rsid w:val="00B30ACC"/>
    <w:rsid w:val="00B72660"/>
    <w:rsid w:val="00B852B7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235C1"/>
    <w:rsid w:val="00D639E5"/>
    <w:rsid w:val="00D652F9"/>
    <w:rsid w:val="00D82964"/>
    <w:rsid w:val="00D85CE8"/>
    <w:rsid w:val="00D935D7"/>
    <w:rsid w:val="00DD520C"/>
    <w:rsid w:val="00DF5693"/>
    <w:rsid w:val="00E65026"/>
    <w:rsid w:val="00E75D33"/>
    <w:rsid w:val="00EA4871"/>
    <w:rsid w:val="00EB29A0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77EBA"/>
    <w:rsid w:val="00F93E22"/>
    <w:rsid w:val="00F96D3D"/>
    <w:rsid w:val="00FB7B5B"/>
    <w:rsid w:val="00FD04C0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E910-EFA1-464D-BB54-B8E360A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96E1A132</Template>
  <TotalTime>205</TotalTime>
  <Pages>6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55</cp:revision>
  <cp:lastPrinted>2019-12-30T11:47:00Z</cp:lastPrinted>
  <dcterms:created xsi:type="dcterms:W3CDTF">2019-12-26T13:48:00Z</dcterms:created>
  <dcterms:modified xsi:type="dcterms:W3CDTF">2020-11-26T11:09:00Z</dcterms:modified>
</cp:coreProperties>
</file>