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E993" w14:textId="3E435227" w:rsidR="00954D3B" w:rsidRPr="00B943F6" w:rsidRDefault="00D87149" w:rsidP="00954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3F6">
        <w:rPr>
          <w:rFonts w:ascii="Times New Roman" w:hAnsi="Times New Roman" w:cs="Times New Roman"/>
          <w:b/>
          <w:sz w:val="24"/>
          <w:szCs w:val="24"/>
        </w:rPr>
        <w:t>OPIS ZADANIA OBJĘTEGO</w:t>
      </w:r>
      <w:r w:rsidR="00954D3B" w:rsidRPr="00B943F6">
        <w:rPr>
          <w:rFonts w:ascii="Times New Roman" w:hAnsi="Times New Roman" w:cs="Times New Roman"/>
          <w:b/>
          <w:sz w:val="24"/>
          <w:szCs w:val="24"/>
        </w:rPr>
        <w:t xml:space="preserve"> WYKONYWANIEM CZYNNOŚCI OKREŚLONYCH W OPISIE PRZEDMIOTU ZAMÓWIENIA</w:t>
      </w:r>
    </w:p>
    <w:p w14:paraId="70D96DF6" w14:textId="77777777" w:rsidR="00954D3B" w:rsidRPr="00B943F6" w:rsidRDefault="00954D3B" w:rsidP="0095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5C7418" w14:textId="77777777" w:rsidR="00954D3B" w:rsidRPr="00B943F6" w:rsidRDefault="00954D3B" w:rsidP="00954D3B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E9BC3E" w14:textId="707CC10C" w:rsidR="00375C69" w:rsidRPr="00B943F6" w:rsidRDefault="00375C69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7D06DA59" w14:textId="1967537C" w:rsidR="005703A8" w:rsidRPr="00B943F6" w:rsidRDefault="005703A8" w:rsidP="005703A8">
      <w:pPr>
        <w:pStyle w:val="Akapitzlist"/>
        <w:spacing w:after="24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B943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Zakres zamówienia to </w:t>
      </w:r>
      <w:r w:rsidRPr="00B9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„Budowa infrastruktury związanej z modernizacją węzła przesiadkowego kolejowo-promowo-autobusowego w Świnoujściu”</w:t>
      </w:r>
    </w:p>
    <w:p w14:paraId="2BCF9FA4" w14:textId="02D0B141" w:rsidR="005703A8" w:rsidRPr="00B943F6" w:rsidRDefault="005703A8" w:rsidP="00147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C1B96" w14:textId="77777777" w:rsidR="005703A8" w:rsidRPr="00B943F6" w:rsidRDefault="005703A8" w:rsidP="00147C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3F6">
        <w:rPr>
          <w:rFonts w:ascii="Times New Roman" w:eastAsia="Times New Roman" w:hAnsi="Times New Roman" w:cs="Times New Roman"/>
          <w:sz w:val="24"/>
          <w:szCs w:val="24"/>
        </w:rPr>
        <w:t>Cel i zakładany efekt zadań inwestycyjnych:</w:t>
      </w:r>
    </w:p>
    <w:p w14:paraId="522B2E7F" w14:textId="77777777" w:rsidR="005703A8" w:rsidRPr="00B943F6" w:rsidRDefault="005703A8" w:rsidP="00147CC8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poprawa systemu komunikacyjnego,</w:t>
      </w:r>
    </w:p>
    <w:p w14:paraId="5DA39248" w14:textId="77777777" w:rsidR="005703A8" w:rsidRPr="00B943F6" w:rsidRDefault="005703A8" w:rsidP="009D0651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zwiększeniem bezpieczeństwa pieszych i pozostałych użytkownikó</w:t>
      </w:r>
      <w:r w:rsidRPr="00B943F6">
        <w:rPr>
          <w:rFonts w:ascii="Times New Roman" w:eastAsia="Arial Narrow" w:hAnsi="Times New Roman" w:cs="Times New Roman"/>
          <w:sz w:val="24"/>
          <w:szCs w:val="24"/>
        </w:rPr>
        <w:fldChar w:fldCharType="begin"/>
      </w:r>
      <w:r w:rsidRPr="00B943F6">
        <w:rPr>
          <w:rFonts w:ascii="Times New Roman" w:eastAsia="Arial Narrow" w:hAnsi="Times New Roman" w:cs="Times New Roman"/>
          <w:sz w:val="24"/>
          <w:szCs w:val="24"/>
        </w:rPr>
        <w:instrText xml:space="preserve"> LISTNUM </w:instrText>
      </w:r>
      <w:r w:rsidRPr="00B943F6">
        <w:rPr>
          <w:rFonts w:ascii="Times New Roman" w:eastAsia="Arial Narrow" w:hAnsi="Times New Roman" w:cs="Times New Roman"/>
          <w:sz w:val="24"/>
          <w:szCs w:val="24"/>
        </w:rPr>
        <w:fldChar w:fldCharType="end">
          <w:numberingChange w:id="0" w:author="asmigielska" w:date="2020-04-16T08:21:00Z" w:original=""/>
        </w:fldChar>
      </w:r>
      <w:r w:rsidRPr="00B943F6">
        <w:rPr>
          <w:rFonts w:ascii="Times New Roman" w:eastAsia="Arial Narrow" w:hAnsi="Times New Roman" w:cs="Times New Roman"/>
          <w:sz w:val="24"/>
          <w:szCs w:val="24"/>
        </w:rPr>
        <w:t>w,</w:t>
      </w:r>
    </w:p>
    <w:p w14:paraId="672FAD52" w14:textId="77777777" w:rsidR="005703A8" w:rsidRPr="00B943F6" w:rsidRDefault="005703A8" w:rsidP="009D0651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poprawa infrastruktury służącej obsłudze pasażeró</w:t>
      </w:r>
      <w:r w:rsidRPr="00B943F6">
        <w:rPr>
          <w:rFonts w:ascii="Times New Roman" w:eastAsia="Arial Narrow" w:hAnsi="Times New Roman" w:cs="Times New Roman"/>
          <w:sz w:val="24"/>
          <w:szCs w:val="24"/>
        </w:rPr>
        <w:fldChar w:fldCharType="begin"/>
      </w:r>
      <w:r w:rsidRPr="00B943F6">
        <w:rPr>
          <w:rFonts w:ascii="Times New Roman" w:eastAsia="Arial Narrow" w:hAnsi="Times New Roman" w:cs="Times New Roman"/>
          <w:sz w:val="24"/>
          <w:szCs w:val="24"/>
        </w:rPr>
        <w:instrText xml:space="preserve"> LISTNUM </w:instrText>
      </w:r>
      <w:r w:rsidRPr="00B943F6">
        <w:rPr>
          <w:rFonts w:ascii="Times New Roman" w:eastAsia="Arial Narrow" w:hAnsi="Times New Roman" w:cs="Times New Roman"/>
          <w:sz w:val="24"/>
          <w:szCs w:val="24"/>
        </w:rPr>
        <w:fldChar w:fldCharType="end">
          <w:numberingChange w:id="1" w:author="asmigielska" w:date="2020-04-16T08:21:00Z" w:original=""/>
        </w:fldChar>
      </w:r>
      <w:r w:rsidRPr="00B943F6">
        <w:rPr>
          <w:rFonts w:ascii="Times New Roman" w:eastAsia="Arial Narrow" w:hAnsi="Times New Roman" w:cs="Times New Roman"/>
          <w:sz w:val="24"/>
          <w:szCs w:val="24"/>
        </w:rPr>
        <w:t>w,</w:t>
      </w:r>
    </w:p>
    <w:p w14:paraId="2B190279" w14:textId="16B1BA04" w:rsidR="005703A8" w:rsidRPr="00B943F6" w:rsidRDefault="005703A8" w:rsidP="009D0651">
      <w:pPr>
        <w:widowControl w:val="0"/>
        <w:numPr>
          <w:ilvl w:val="0"/>
          <w:numId w:val="11"/>
        </w:numPr>
        <w:tabs>
          <w:tab w:val="left" w:pos="286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korzyści ekonomiczne w skali regionalnej i ponadregionalnej.</w:t>
      </w:r>
    </w:p>
    <w:p w14:paraId="3B39F03D" w14:textId="0B5CF69F" w:rsidR="007F0597" w:rsidRPr="00B943F6" w:rsidRDefault="007F0597" w:rsidP="009D0651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086DEAC9" w14:textId="6ED987F3" w:rsidR="00926CC7" w:rsidRPr="00B943F6" w:rsidRDefault="00926CC7" w:rsidP="009D0651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Całą inwestycję podzielono na dwa obszary:</w:t>
      </w:r>
    </w:p>
    <w:p w14:paraId="775898C3" w14:textId="0676B8AD" w:rsidR="00926CC7" w:rsidRPr="00B943F6" w:rsidRDefault="00926CC7" w:rsidP="00926CC7">
      <w:pPr>
        <w:pStyle w:val="Akapitzlist"/>
        <w:widowControl w:val="0"/>
        <w:numPr>
          <w:ilvl w:val="0"/>
          <w:numId w:val="16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I obszar obejmujący swoim zakresem nowoprojektowaną ulicę Okólną wraz z parkingiem naziemnym przy nowoprojektowanym budynku przy ul. Barlickiego (oznaczenie budynku B1 na planie zagospodarowania w branży architektonicznej)</w:t>
      </w:r>
      <w:r w:rsidR="00D95529" w:rsidRPr="00B943F6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38B7BECC" w14:textId="67E37B88" w:rsidR="007F0597" w:rsidRPr="00B943F6" w:rsidRDefault="00B34D44" w:rsidP="00C60FA1">
      <w:pPr>
        <w:pStyle w:val="Akapitzlist"/>
        <w:widowControl w:val="0"/>
        <w:numPr>
          <w:ilvl w:val="0"/>
          <w:numId w:val="16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II obszar obejmujący swoim zakresem ul. Dworcową od przejazdu kolejowego na skrzyżowaniu z ul. Barlickiego  wraz z przyległymi chodnikami, miejscami postojowymi</w:t>
      </w:r>
      <w:r w:rsidR="00796089" w:rsidRPr="00B943F6">
        <w:rPr>
          <w:rFonts w:ascii="Times New Roman" w:eastAsia="Arial Narrow" w:hAnsi="Times New Roman" w:cs="Times New Roman"/>
          <w:sz w:val="24"/>
          <w:szCs w:val="24"/>
        </w:rPr>
        <w:t>, „obszar wjazdowy na prom”</w:t>
      </w:r>
      <w:r w:rsidR="00B438D7" w:rsidRPr="00B943F6">
        <w:rPr>
          <w:rFonts w:ascii="Times New Roman" w:eastAsia="Arial Narrow" w:hAnsi="Times New Roman" w:cs="Times New Roman"/>
          <w:sz w:val="24"/>
          <w:szCs w:val="24"/>
        </w:rPr>
        <w:t xml:space="preserve"> oraz obszar dworca autobusowego.</w:t>
      </w:r>
    </w:p>
    <w:p w14:paraId="06B646EC" w14:textId="77777777" w:rsidR="007F0597" w:rsidRPr="00B943F6" w:rsidRDefault="007F0597" w:rsidP="004160FE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2" w:name="_GoBack"/>
      <w:bookmarkEnd w:id="2"/>
    </w:p>
    <w:p w14:paraId="1F221827" w14:textId="3AA7107E" w:rsidR="005703A8" w:rsidRPr="00B943F6" w:rsidRDefault="00385470" w:rsidP="004160FE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943F6">
        <w:rPr>
          <w:rFonts w:ascii="Times New Roman" w:hAnsi="Times New Roman" w:cs="Times New Roman"/>
          <w:b/>
          <w:spacing w:val="-4"/>
          <w:sz w:val="24"/>
          <w:szCs w:val="24"/>
        </w:rPr>
        <w:t>W ramach przedmiotowej inwestycji planuje się m.in.:</w:t>
      </w:r>
    </w:p>
    <w:p w14:paraId="4E743E93" w14:textId="570EBC28" w:rsidR="00F668CB" w:rsidRPr="00B943F6" w:rsidRDefault="00F668CB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Przebudow</w:t>
      </w:r>
      <w:r w:rsidR="00347F1F"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ę</w:t>
      </w: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układu drogowego, w tym budow</w:t>
      </w:r>
      <w:r w:rsidR="00347F1F"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ę</w:t>
      </w: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przebudow</w:t>
      </w:r>
      <w:r w:rsidR="00347F1F"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ę</w:t>
      </w: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79364E81" w14:textId="5A629E59" w:rsidR="005A5C08" w:rsidRPr="00B943F6" w:rsidRDefault="00F668CB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parkingów naziemnych dla samochodów osobowych,</w:t>
      </w:r>
    </w:p>
    <w:p w14:paraId="1461A6BC" w14:textId="1A7F9EC8" w:rsidR="005A5C08" w:rsidRPr="00B943F6" w:rsidRDefault="005A5C0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przebudowę ul. Dworcowej</w:t>
      </w:r>
    </w:p>
    <w:p w14:paraId="52F23B12" w14:textId="77777777" w:rsidR="00F668CB" w:rsidRPr="00B943F6" w:rsidRDefault="00F668CB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parkingów dla autobusów i busów,</w:t>
      </w:r>
    </w:p>
    <w:p w14:paraId="31D106FE" w14:textId="77777777" w:rsidR="00F668CB" w:rsidRPr="00B943F6" w:rsidRDefault="00F668CB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ścieżek rowerowych,</w:t>
      </w:r>
    </w:p>
    <w:p w14:paraId="3B0615DE" w14:textId="77777777" w:rsidR="00F668CB" w:rsidRPr="00B943F6" w:rsidRDefault="00F668CB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ciągów pieszych z przejściami dla pieszych,</w:t>
      </w:r>
    </w:p>
    <w:p w14:paraId="7381A615" w14:textId="77777777" w:rsidR="00F668CB" w:rsidRPr="00B943F6" w:rsidRDefault="00F668CB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bulwarów,</w:t>
      </w:r>
    </w:p>
    <w:p w14:paraId="4FCD7BEC" w14:textId="77777777" w:rsidR="00F668CB" w:rsidRPr="00B943F6" w:rsidRDefault="00F668CB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wraz z budową:</w:t>
      </w:r>
    </w:p>
    <w:p w14:paraId="191F266A" w14:textId="216BBDD3" w:rsidR="005703A8" w:rsidRPr="00B943F6" w:rsidRDefault="00F668CB" w:rsidP="00BB2EE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budynku usługowego wraz z zadaszeniem związanego z funkcjonowaniem dworca</w:t>
      </w:r>
      <w:r w:rsidR="00BB2EE6"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</w:t>
      </w: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utobusowego,</w:t>
      </w:r>
    </w:p>
    <w:p w14:paraId="56CBCA58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oraz przebudową niezbędnej infrastruktury technicznej, w tym:</w:t>
      </w:r>
    </w:p>
    <w:p w14:paraId="631E6570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sieci i przyłącza sanitarne;</w:t>
      </w:r>
    </w:p>
    <w:p w14:paraId="43727077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ciągów drenażowych wzdłuż projektowanych dróg,</w:t>
      </w:r>
    </w:p>
    <w:p w14:paraId="185167B0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przyłącza wodociągowego do projektowanego budynku B2,</w:t>
      </w:r>
    </w:p>
    <w:p w14:paraId="06039858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przyłącza kanalizacji sanitarnej do projektowanego budynku B2,</w:t>
      </w:r>
    </w:p>
    <w:p w14:paraId="52F80D6F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przyłącza kanalizacji deszczowej do projektowanego budynku B2,</w:t>
      </w:r>
    </w:p>
    <w:p w14:paraId="11282E46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przebudowa kanalizacji deszczowej w rejonie ul. Dworcowej</w:t>
      </w:r>
    </w:p>
    <w:p w14:paraId="4D83E9D4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usunięcie powstałych kolizji z infrastrukturą podziemną</w:t>
      </w:r>
    </w:p>
    <w:p w14:paraId="58AE3EE8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- sieci i przyłącza elektryczne i teletechniczne, w tym:</w:t>
      </w:r>
    </w:p>
    <w:p w14:paraId="2FB042C4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budowa oświetleniowych sieci energetycznych NN</w:t>
      </w:r>
    </w:p>
    <w:p w14:paraId="17FE360B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zasilanie budynku B2</w:t>
      </w:r>
    </w:p>
    <w:p w14:paraId="5F4F4B23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zasilanie ekranów informacyjnych dla promów</w:t>
      </w:r>
    </w:p>
    <w:p w14:paraId="00025AEE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oświetlenie architektoniczne nabrzeża i terenu przy budynku zaplecza B2</w:t>
      </w:r>
    </w:p>
    <w:p w14:paraId="0DA1BE73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zasilanie infrastruktury parkingowej, szlabanów, automatów biletowych, stacji ładowania</w:t>
      </w:r>
    </w:p>
    <w:p w14:paraId="11140870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zasilanie ekranu informacyjnego dla parkingu</w:t>
      </w:r>
    </w:p>
    <w:p w14:paraId="48946F2D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budowa sieci i studni telekomunikacyjnych</w:t>
      </w:r>
    </w:p>
    <w:p w14:paraId="0179FDEC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usunięcie powstałych kolizji z infrastrukturą podziemną</w:t>
      </w:r>
    </w:p>
    <w:p w14:paraId="400F01C7" w14:textId="77777777" w:rsidR="00100F78" w:rsidRPr="00B943F6" w:rsidRDefault="00100F78" w:rsidP="00147CC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F6">
        <w:rPr>
          <w:rFonts w:ascii="Times New Roman" w:eastAsiaTheme="minorHAnsi" w:hAnsi="Times New Roman" w:cs="Times New Roman"/>
          <w:sz w:val="24"/>
          <w:szCs w:val="24"/>
          <w:lang w:eastAsia="en-US"/>
        </w:rPr>
        <w:t>oraz nasadzenia zielenią niską, średnią i wysoką i lokalizacja elementów małej architektury</w:t>
      </w:r>
    </w:p>
    <w:p w14:paraId="59ED9134" w14:textId="49217EC9" w:rsidR="00523BF6" w:rsidRPr="00B943F6" w:rsidRDefault="00523BF6" w:rsidP="004160FE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</w:p>
    <w:p w14:paraId="6FBDC522" w14:textId="5A105932" w:rsidR="00C60FA1" w:rsidRPr="00B943F6" w:rsidRDefault="00C60FA1" w:rsidP="004160FE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  <w:lang w:val="pl-PL"/>
        </w:rPr>
        <w:t>Uwag</w:t>
      </w:r>
      <w:r w:rsidR="00523BF6" w:rsidRPr="00B943F6">
        <w:rPr>
          <w:b w:val="0"/>
          <w:sz w:val="24"/>
          <w:szCs w:val="24"/>
          <w:lang w:val="pl-PL"/>
        </w:rPr>
        <w:t>i</w:t>
      </w:r>
      <w:r w:rsidRPr="00B943F6">
        <w:rPr>
          <w:b w:val="0"/>
          <w:sz w:val="24"/>
          <w:szCs w:val="24"/>
          <w:lang w:val="pl-PL"/>
        </w:rPr>
        <w:t>:</w:t>
      </w:r>
    </w:p>
    <w:p w14:paraId="38297569" w14:textId="2C65F615" w:rsidR="00C0653E" w:rsidRPr="00B943F6" w:rsidRDefault="008B5F4F" w:rsidP="00DF7A97">
      <w:pPr>
        <w:pStyle w:val="Tekstpodstawowy"/>
        <w:numPr>
          <w:ilvl w:val="0"/>
          <w:numId w:val="17"/>
        </w:numPr>
        <w:tabs>
          <w:tab w:val="clear" w:pos="567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  <w:lang w:val="pl-PL"/>
        </w:rPr>
        <w:t>Zamówienie nie obejmuje</w:t>
      </w:r>
      <w:r w:rsidR="00C0653E" w:rsidRPr="00B943F6">
        <w:rPr>
          <w:b w:val="0"/>
          <w:sz w:val="24"/>
          <w:szCs w:val="24"/>
          <w:lang w:val="pl-PL"/>
        </w:rPr>
        <w:t xml:space="preserve"> wykonania budynku parkingu wielopoziomowego B1 wraz wiatą śmietnikową i niezbędną infrastrukturą techniczną, części drogi dojazdowej do parkingu</w:t>
      </w:r>
      <w:r w:rsidR="00F32909" w:rsidRPr="00B943F6">
        <w:rPr>
          <w:b w:val="0"/>
          <w:sz w:val="24"/>
          <w:szCs w:val="24"/>
          <w:lang w:val="pl-PL"/>
        </w:rPr>
        <w:t xml:space="preserve"> naziemnego</w:t>
      </w:r>
      <w:r w:rsidR="00C0653E" w:rsidRPr="00B943F6">
        <w:rPr>
          <w:b w:val="0"/>
          <w:sz w:val="24"/>
          <w:szCs w:val="24"/>
          <w:lang w:val="pl-PL"/>
        </w:rPr>
        <w:t xml:space="preserve"> oraz obszaru wjazdowego na prom, który przewidziany jest do realizacji po wybudowaniu tunelu, gdyż tylko wtedy można ograniczyć ilość pasów wjazdowych na prom.</w:t>
      </w:r>
    </w:p>
    <w:p w14:paraId="4DF72650" w14:textId="0C889682" w:rsidR="00724CD4" w:rsidRPr="00B943F6" w:rsidRDefault="00724CD4" w:rsidP="00DF7A97">
      <w:pPr>
        <w:pStyle w:val="Tekstpodstawowy"/>
        <w:numPr>
          <w:ilvl w:val="0"/>
          <w:numId w:val="17"/>
        </w:numPr>
        <w:spacing w:line="276" w:lineRule="auto"/>
        <w:ind w:left="567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</w:rPr>
        <w:t xml:space="preserve">Zamawiający uzyskał decyzje </w:t>
      </w:r>
      <w:r w:rsidRPr="00B943F6">
        <w:rPr>
          <w:b w:val="0"/>
          <w:sz w:val="24"/>
          <w:szCs w:val="24"/>
          <w:lang w:val="pl-PL"/>
        </w:rPr>
        <w:t>nr 279/PB/2017 z dnia 12.12.2017 r. oraz nr 222/2017 z dnia 13.12.2017 r.</w:t>
      </w:r>
      <w:r w:rsidRPr="00B943F6">
        <w:rPr>
          <w:b w:val="0"/>
          <w:sz w:val="24"/>
          <w:szCs w:val="24"/>
        </w:rPr>
        <w:t xml:space="preserve"> o pozwoleniu</w:t>
      </w:r>
      <w:r w:rsidRPr="00B943F6">
        <w:rPr>
          <w:b w:val="0"/>
          <w:sz w:val="24"/>
          <w:szCs w:val="24"/>
          <w:lang w:val="pl-PL"/>
        </w:rPr>
        <w:t xml:space="preserve"> </w:t>
      </w:r>
      <w:r w:rsidRPr="00B943F6">
        <w:rPr>
          <w:b w:val="0"/>
          <w:sz w:val="24"/>
          <w:szCs w:val="24"/>
        </w:rPr>
        <w:t>na budowę budynku usługowo – garażowego</w:t>
      </w:r>
      <w:r w:rsidRPr="00B943F6">
        <w:rPr>
          <w:b w:val="0"/>
          <w:sz w:val="24"/>
          <w:szCs w:val="24"/>
          <w:lang w:val="pl-PL"/>
        </w:rPr>
        <w:t xml:space="preserve"> </w:t>
      </w:r>
      <w:r w:rsidRPr="00B943F6">
        <w:rPr>
          <w:b w:val="0"/>
          <w:sz w:val="24"/>
          <w:szCs w:val="24"/>
        </w:rPr>
        <w:t xml:space="preserve">wraz z parkingiem naziemnym przy ul. </w:t>
      </w:r>
      <w:r w:rsidR="00F32909" w:rsidRPr="00B943F6">
        <w:rPr>
          <w:b w:val="0"/>
          <w:sz w:val="24"/>
          <w:szCs w:val="24"/>
        </w:rPr>
        <w:t xml:space="preserve">Norberta Barlickiego oraz </w:t>
      </w:r>
      <w:r w:rsidR="001570FB" w:rsidRPr="00B943F6">
        <w:rPr>
          <w:b w:val="0"/>
          <w:sz w:val="24"/>
          <w:szCs w:val="24"/>
          <w:lang w:val="pl-PL"/>
        </w:rPr>
        <w:t xml:space="preserve">na </w:t>
      </w:r>
      <w:r w:rsidRPr="00B943F6">
        <w:rPr>
          <w:b w:val="0"/>
          <w:sz w:val="24"/>
          <w:szCs w:val="24"/>
        </w:rPr>
        <w:t>wykonanie robót obejmujących  przebudowę części terenu dworca autobusowego ( etap I)  wraz z przebudową ulicy Dworcowej</w:t>
      </w:r>
      <w:r w:rsidRPr="00B943F6">
        <w:rPr>
          <w:b w:val="0"/>
          <w:sz w:val="24"/>
          <w:szCs w:val="24"/>
          <w:lang w:val="pl-PL"/>
        </w:rPr>
        <w:t xml:space="preserve"> na podstawie projektu budowlanego </w:t>
      </w:r>
      <w:proofErr w:type="spellStart"/>
      <w:r w:rsidRPr="00B943F6">
        <w:rPr>
          <w:b w:val="0"/>
          <w:sz w:val="24"/>
          <w:szCs w:val="24"/>
          <w:lang w:val="pl-PL"/>
        </w:rPr>
        <w:t>pn</w:t>
      </w:r>
      <w:proofErr w:type="spellEnd"/>
      <w:r w:rsidRPr="00B943F6">
        <w:rPr>
          <w:b w:val="0"/>
          <w:sz w:val="24"/>
          <w:szCs w:val="24"/>
          <w:lang w:val="pl-PL"/>
        </w:rPr>
        <w:t xml:space="preserve">: „Budowa infrastruktury związanej z modernizacją węzła przesiadkowego kolejowo-promowo-autobusowego w Świnoujściu” autorstwa biura projektowego </w:t>
      </w:r>
      <w:proofErr w:type="spellStart"/>
      <w:r w:rsidRPr="00B943F6">
        <w:rPr>
          <w:b w:val="0"/>
          <w:sz w:val="24"/>
          <w:szCs w:val="24"/>
          <w:lang w:val="pl-PL"/>
        </w:rPr>
        <w:t>Compono</w:t>
      </w:r>
      <w:proofErr w:type="spellEnd"/>
      <w:r w:rsidRPr="00B943F6">
        <w:rPr>
          <w:b w:val="0"/>
          <w:sz w:val="24"/>
          <w:szCs w:val="24"/>
          <w:lang w:val="pl-PL"/>
        </w:rPr>
        <w:t xml:space="preserve"> Sp. z o.o.</w:t>
      </w:r>
    </w:p>
    <w:p w14:paraId="0E4A0BEA" w14:textId="77777777" w:rsidR="00AA64EE" w:rsidRPr="00B943F6" w:rsidRDefault="00C0653E" w:rsidP="00DF7A97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  <w:lang w:val="pl-PL"/>
        </w:rPr>
        <w:t xml:space="preserve">Zadanie będzie wykonywane w systemie zaprojektuj i wybuduj. W chwili obecnej należy </w:t>
      </w:r>
    </w:p>
    <w:p w14:paraId="40273D17" w14:textId="262D1FCC" w:rsidR="00095C7C" w:rsidRPr="00B943F6" w:rsidRDefault="00AA64EE" w:rsidP="00095C7C">
      <w:pPr>
        <w:pStyle w:val="Tekstpodstawowy"/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</w:rPr>
        <w:t xml:space="preserve">wykonać projekt zamienny do wykonanego wcześniej projektu budowlanego </w:t>
      </w:r>
      <w:proofErr w:type="spellStart"/>
      <w:r w:rsidRPr="00B943F6">
        <w:rPr>
          <w:b w:val="0"/>
          <w:sz w:val="24"/>
          <w:szCs w:val="24"/>
        </w:rPr>
        <w:t>pn</w:t>
      </w:r>
      <w:proofErr w:type="spellEnd"/>
      <w:r w:rsidRPr="00B943F6">
        <w:rPr>
          <w:b w:val="0"/>
          <w:sz w:val="24"/>
          <w:szCs w:val="24"/>
        </w:rPr>
        <w:t xml:space="preserve">: </w:t>
      </w:r>
      <w:r w:rsidRPr="00B943F6">
        <w:rPr>
          <w:rStyle w:val="FontStyle50"/>
          <w:rFonts w:ascii="Times New Roman" w:hAnsi="Times New Roman" w:cs="Times New Roman"/>
          <w:b w:val="0"/>
          <w:sz w:val="24"/>
          <w:szCs w:val="24"/>
        </w:rPr>
        <w:t>„Budowa infrastruktury związanej z modernizacją węzła przesiadkowego kolejowo – promowo – autobusowego w Świnoujściu” – opracowanego przez COMPONO Sp. z o.o.; marzec 2017 r.</w:t>
      </w:r>
      <w:r w:rsidR="00095C7C" w:rsidRPr="00B943F6">
        <w:rPr>
          <w:rStyle w:val="FontStyle50"/>
          <w:rFonts w:ascii="Times New Roman" w:hAnsi="Times New Roman" w:cs="Times New Roman"/>
          <w:b w:val="0"/>
          <w:sz w:val="24"/>
          <w:szCs w:val="24"/>
        </w:rPr>
        <w:t xml:space="preserve"> oraz</w:t>
      </w:r>
      <w:r w:rsidR="00095C7C" w:rsidRPr="00B943F6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095C7C" w:rsidRPr="00B943F6">
        <w:rPr>
          <w:b w:val="0"/>
          <w:sz w:val="24"/>
          <w:szCs w:val="24"/>
          <w:lang w:val="pl-PL"/>
        </w:rPr>
        <w:t xml:space="preserve">opracować kompleksowy wielobranżowy projekt wykonawczy obejmujący całość robót budowlanych stanowiących przedmiot </w:t>
      </w:r>
      <w:r w:rsidR="00BF6B0F" w:rsidRPr="00B943F6">
        <w:rPr>
          <w:b w:val="0"/>
          <w:sz w:val="24"/>
          <w:szCs w:val="24"/>
          <w:lang w:val="pl-PL"/>
        </w:rPr>
        <w:t>zamówienia wraz ze specyfikacjami technicznymi wykonania i odbioru robót budowlanych.</w:t>
      </w:r>
    </w:p>
    <w:p w14:paraId="69BE63AF" w14:textId="4B98182F" w:rsidR="00AA64EE" w:rsidRPr="00B943F6" w:rsidRDefault="00AA64EE" w:rsidP="00BF6B0F">
      <w:pPr>
        <w:pStyle w:val="Teksttreci120"/>
        <w:shd w:val="clear" w:color="auto" w:fill="auto"/>
        <w:spacing w:after="0" w:line="276" w:lineRule="auto"/>
        <w:ind w:firstLine="0"/>
        <w:rPr>
          <w:rStyle w:val="FontStyle50"/>
          <w:rFonts w:ascii="Times New Roman" w:hAnsi="Times New Roman" w:cs="Times New Roman"/>
          <w:sz w:val="24"/>
          <w:szCs w:val="24"/>
        </w:rPr>
      </w:pPr>
    </w:p>
    <w:p w14:paraId="6281A78D" w14:textId="77777777" w:rsidR="00AA64EE" w:rsidRPr="00B943F6" w:rsidRDefault="00AA64EE" w:rsidP="00AA64EE">
      <w:pPr>
        <w:widowControl w:val="0"/>
        <w:spacing w:after="0" w:line="360" w:lineRule="auto"/>
        <w:ind w:left="56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 xml:space="preserve">Przedmiotem zamiennego projektu budowlanego w stosunku do </w:t>
      </w:r>
      <w:proofErr w:type="spellStart"/>
      <w:r w:rsidRPr="00B943F6">
        <w:rPr>
          <w:rFonts w:ascii="Times New Roman" w:eastAsia="Arial Narrow" w:hAnsi="Times New Roman" w:cs="Times New Roman"/>
          <w:sz w:val="24"/>
          <w:szCs w:val="24"/>
        </w:rPr>
        <w:t>ww</w:t>
      </w:r>
      <w:proofErr w:type="spellEnd"/>
      <w:r w:rsidRPr="00B943F6">
        <w:rPr>
          <w:rFonts w:ascii="Times New Roman" w:eastAsia="Arial Narrow" w:hAnsi="Times New Roman" w:cs="Times New Roman"/>
          <w:sz w:val="24"/>
          <w:szCs w:val="24"/>
        </w:rPr>
        <w:t xml:space="preserve"> będzie m.in.:</w:t>
      </w:r>
    </w:p>
    <w:p w14:paraId="2305BDF7" w14:textId="77777777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zmiana warstw ścieralnych miejsc postojowych i chodników, krawężników;</w:t>
      </w:r>
    </w:p>
    <w:p w14:paraId="2E557C3B" w14:textId="77777777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zmiana sposobu odprowadzenia wód deszczowych z terenu dworca autobusowego bez konieczności instalowania przepompowni, należy zaprojektować odwodnienie liniowe monolityczne wraz z elementami zabezpieczającymi proj. odwodnienie przed najazdem pojazdów kołowych;</w:t>
      </w:r>
    </w:p>
    <w:p w14:paraId="208BB28F" w14:textId="2B8B0A4C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uzyskanie war</w:t>
      </w:r>
      <w:r w:rsidR="001570FB" w:rsidRPr="00B943F6">
        <w:rPr>
          <w:rFonts w:ascii="Times New Roman" w:eastAsia="Arial Narrow" w:hAnsi="Times New Roman" w:cs="Times New Roman"/>
          <w:sz w:val="24"/>
          <w:szCs w:val="24"/>
        </w:rPr>
        <w:t xml:space="preserve">unków od Enea Operator Spółka z </w:t>
      </w:r>
      <w:r w:rsidRPr="00B943F6">
        <w:rPr>
          <w:rFonts w:ascii="Times New Roman" w:eastAsia="Arial Narrow" w:hAnsi="Times New Roman" w:cs="Times New Roman"/>
          <w:sz w:val="24"/>
          <w:szCs w:val="24"/>
        </w:rPr>
        <w:t>o.o. na przyłączenie projektowanego oświetlenia węzła przesiadkowego osobno dla parkingów zlokalizowanych przy ul. Okólnej i Dworcowej, Zamawiający nie wyraża zgody na zasilenie oświetlenia terenu projektowanego dworca autobusowego z istniejącego zasilania ZKM;</w:t>
      </w:r>
    </w:p>
    <w:p w14:paraId="2A4DEA99" w14:textId="77777777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lastRenderedPageBreak/>
        <w:t>pozostawienie bez zmian w stosunku do istniejącego zasilania projektowanego oświetlenia ulicy Okólnej. Należy wykonać kablowe połączenia rezerwowe z instalacjami oświetleniowymi sąsiednich ulic;</w:t>
      </w:r>
    </w:p>
    <w:p w14:paraId="0A2DB079" w14:textId="2581F87D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zaprojektowanie dodatkowych latarni oświetlenia ulicznego przy przejściach dla pieszych; możliwość lokalizacji słupa oświetleniowego w bezpośrednim sąsiedztwie ogrodzenia terenu kolejowego ze względu na ograniczoną szerokość chodnika;</w:t>
      </w:r>
    </w:p>
    <w:p w14:paraId="06269B7F" w14:textId="6A2EEDB1" w:rsidR="008B5F4F" w:rsidRPr="00B943F6" w:rsidRDefault="008B5F4F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 xml:space="preserve">zaprojektowanie oświetlenia pod zadaszeniem peronu autobusowego; </w:t>
      </w:r>
    </w:p>
    <w:p w14:paraId="1378B115" w14:textId="77777777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dostosowanie projektowanych w budynku toalet do potrzeb osób niepełnosprawnych poruszających się na wózkach inwalidzkich - zapewnienie odpowiedniej powierzchni manewrowej;</w:t>
      </w:r>
    </w:p>
    <w:p w14:paraId="182E3731" w14:textId="77777777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nie stosować dla ścian wewnętrznych działowych tynku cementowo – wapiennego na płycie gipsowo – kartonowej (ściana wewnętrzna działowa Sw1 Budynek B2);</w:t>
      </w:r>
    </w:p>
    <w:p w14:paraId="40080DFF" w14:textId="09F2C813" w:rsidR="00AA64EE" w:rsidRPr="00B943F6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>uzupełnienie brakującego projektu instalacji telekomunikacyjnych – kolizje telekomunikacyjne zawarte w Tom 1 Zagospodarowanie terenu, Instalacje elektryczne, telekomunikacyjne;</w:t>
      </w:r>
    </w:p>
    <w:p w14:paraId="3A3BE5A0" w14:textId="53DF8F30" w:rsidR="00AA64EE" w:rsidRPr="00B943F6" w:rsidRDefault="00AA64EE" w:rsidP="001625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943F6">
        <w:rPr>
          <w:rFonts w:ascii="Times New Roman" w:eastAsia="Arial Narrow" w:hAnsi="Times New Roman" w:cs="Times New Roman"/>
          <w:sz w:val="24"/>
          <w:szCs w:val="24"/>
        </w:rPr>
        <w:t xml:space="preserve">rozszerzenie dokumentacji projektowej o działki </w:t>
      </w:r>
      <w:r w:rsidRPr="00B943F6">
        <w:rPr>
          <w:rFonts w:ascii="Times New Roman" w:hAnsi="Times New Roman" w:cs="Times New Roman"/>
          <w:sz w:val="24"/>
          <w:szCs w:val="24"/>
        </w:rPr>
        <w:t>nie ujęte w poprzednim opracowaniu  (dz. nr 6/1, 6/2, 7/4 przy terenie dworca autobusowego)</w:t>
      </w:r>
    </w:p>
    <w:p w14:paraId="18029936" w14:textId="715DAC53" w:rsidR="005C554E" w:rsidRPr="00B943F6" w:rsidRDefault="00E65310" w:rsidP="00DF7A97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  <w:lang w:val="pl-PL"/>
        </w:rPr>
        <w:t>W imieniu Zamawiającego należy uzyskać</w:t>
      </w:r>
      <w:r w:rsidR="00574EFB" w:rsidRPr="00B943F6">
        <w:rPr>
          <w:b w:val="0"/>
          <w:sz w:val="24"/>
          <w:szCs w:val="24"/>
          <w:lang w:val="pl-PL"/>
        </w:rPr>
        <w:t xml:space="preserve"> wszystkie konieczne warunki przyłączenia do sieci, uzgodnienia, decyzje a także decyzje zmieniające wydane uprzednio decyzje o pozwoleniu na budowę tj.</w:t>
      </w:r>
      <w:r w:rsidR="00095C7C" w:rsidRPr="00B943F6">
        <w:rPr>
          <w:b w:val="0"/>
          <w:sz w:val="24"/>
          <w:szCs w:val="24"/>
          <w:lang w:val="pl-PL"/>
        </w:rPr>
        <w:t xml:space="preserve"> decyzję nr 222/2017 z dnia 13.12.2017 i decyzję nr 279/PB/2017 z dnia 12.12.2017r.</w:t>
      </w:r>
    </w:p>
    <w:p w14:paraId="22421A8D" w14:textId="7BDB8656" w:rsidR="005C554E" w:rsidRPr="00B943F6" w:rsidRDefault="00B55CD4" w:rsidP="005C554E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  <w:lang w:val="pl-PL"/>
        </w:rPr>
        <w:t xml:space="preserve">Zamawiający </w:t>
      </w:r>
      <w:r w:rsidR="0016258B" w:rsidRPr="00B943F6">
        <w:rPr>
          <w:b w:val="0"/>
          <w:sz w:val="24"/>
          <w:szCs w:val="24"/>
          <w:lang w:val="pl-PL"/>
        </w:rPr>
        <w:t>dysponuje</w:t>
      </w:r>
      <w:r w:rsidRPr="00B943F6">
        <w:rPr>
          <w:b w:val="0"/>
          <w:sz w:val="24"/>
          <w:szCs w:val="24"/>
          <w:lang w:val="pl-PL"/>
        </w:rPr>
        <w:t xml:space="preserve"> Program</w:t>
      </w:r>
      <w:r w:rsidR="0016258B" w:rsidRPr="00B943F6">
        <w:rPr>
          <w:b w:val="0"/>
          <w:sz w:val="24"/>
          <w:szCs w:val="24"/>
          <w:lang w:val="pl-PL"/>
        </w:rPr>
        <w:t>em</w:t>
      </w:r>
      <w:r w:rsidRPr="00B943F6">
        <w:rPr>
          <w:b w:val="0"/>
          <w:sz w:val="24"/>
          <w:szCs w:val="24"/>
          <w:lang w:val="pl-PL"/>
        </w:rPr>
        <w:t xml:space="preserve"> </w:t>
      </w:r>
      <w:proofErr w:type="spellStart"/>
      <w:r w:rsidRPr="00B943F6">
        <w:rPr>
          <w:b w:val="0"/>
          <w:sz w:val="24"/>
          <w:szCs w:val="24"/>
          <w:lang w:val="pl-PL"/>
        </w:rPr>
        <w:t>Funkcjonalno</w:t>
      </w:r>
      <w:proofErr w:type="spellEnd"/>
      <w:r w:rsidRPr="00B943F6">
        <w:rPr>
          <w:b w:val="0"/>
          <w:sz w:val="24"/>
          <w:szCs w:val="24"/>
          <w:lang w:val="pl-PL"/>
        </w:rPr>
        <w:t xml:space="preserve"> Użytkowy</w:t>
      </w:r>
      <w:r w:rsidR="00C26CF2" w:rsidRPr="00B943F6">
        <w:rPr>
          <w:b w:val="0"/>
          <w:sz w:val="24"/>
          <w:szCs w:val="24"/>
          <w:lang w:val="pl-PL"/>
        </w:rPr>
        <w:t>m</w:t>
      </w:r>
      <w:r w:rsidR="000F21EE" w:rsidRPr="00B943F6">
        <w:rPr>
          <w:b w:val="0"/>
          <w:sz w:val="24"/>
          <w:szCs w:val="24"/>
          <w:lang w:val="pl-PL"/>
        </w:rPr>
        <w:t>, aktualnym na dzień 29.05.2020r.,</w:t>
      </w:r>
      <w:r w:rsidR="00C0653E" w:rsidRPr="00B943F6">
        <w:rPr>
          <w:b w:val="0"/>
          <w:sz w:val="24"/>
          <w:szCs w:val="24"/>
          <w:lang w:val="pl-PL"/>
        </w:rPr>
        <w:t xml:space="preserve"> przebudowy dworca autobusowego</w:t>
      </w:r>
      <w:r w:rsidR="00DF7A97" w:rsidRPr="00B943F6">
        <w:rPr>
          <w:b w:val="0"/>
          <w:sz w:val="24"/>
          <w:szCs w:val="24"/>
          <w:lang w:val="pl-PL"/>
        </w:rPr>
        <w:t>, który</w:t>
      </w:r>
      <w:r w:rsidR="00C0653E" w:rsidRPr="00B943F6">
        <w:rPr>
          <w:b w:val="0"/>
          <w:sz w:val="24"/>
          <w:szCs w:val="24"/>
          <w:lang w:val="pl-PL"/>
        </w:rPr>
        <w:t xml:space="preserve"> podzielony </w:t>
      </w:r>
      <w:r w:rsidR="00DF7A97" w:rsidRPr="00B943F6">
        <w:rPr>
          <w:b w:val="0"/>
          <w:sz w:val="24"/>
          <w:szCs w:val="24"/>
          <w:lang w:val="pl-PL"/>
        </w:rPr>
        <w:t xml:space="preserve">jest </w:t>
      </w:r>
      <w:r w:rsidR="00C26CF2" w:rsidRPr="00B943F6">
        <w:rPr>
          <w:b w:val="0"/>
          <w:sz w:val="24"/>
          <w:szCs w:val="24"/>
          <w:lang w:val="pl-PL"/>
        </w:rPr>
        <w:t xml:space="preserve">na dwa etapy oraz Programem </w:t>
      </w:r>
      <w:proofErr w:type="spellStart"/>
      <w:r w:rsidR="00C26CF2" w:rsidRPr="00B943F6">
        <w:rPr>
          <w:b w:val="0"/>
          <w:sz w:val="24"/>
          <w:szCs w:val="24"/>
          <w:lang w:val="pl-PL"/>
        </w:rPr>
        <w:t>Funkcjonalno</w:t>
      </w:r>
      <w:proofErr w:type="spellEnd"/>
      <w:r w:rsidR="00C26CF2" w:rsidRPr="00B943F6">
        <w:rPr>
          <w:b w:val="0"/>
          <w:sz w:val="24"/>
          <w:szCs w:val="24"/>
          <w:lang w:val="pl-PL"/>
        </w:rPr>
        <w:t xml:space="preserve"> Użytkowym</w:t>
      </w:r>
      <w:r w:rsidR="00C26CF2" w:rsidRPr="00B943F6">
        <w:rPr>
          <w:rFonts w:eastAsiaTheme="minorHAnsi"/>
          <w:b w:val="0"/>
          <w:bCs w:val="0"/>
          <w:lang w:eastAsia="en-US"/>
        </w:rPr>
        <w:t xml:space="preserve"> </w:t>
      </w:r>
      <w:proofErr w:type="spellStart"/>
      <w:r w:rsidR="00C26CF2" w:rsidRPr="00B943F6">
        <w:rPr>
          <w:rFonts w:eastAsiaTheme="minorHAnsi"/>
          <w:b w:val="0"/>
          <w:bCs w:val="0"/>
          <w:sz w:val="24"/>
          <w:szCs w:val="24"/>
          <w:lang w:eastAsia="en-US"/>
        </w:rPr>
        <w:t>budynek</w:t>
      </w:r>
      <w:r w:rsidR="00C26CF2" w:rsidRPr="00B943F6">
        <w:rPr>
          <w:rFonts w:eastAsiaTheme="minorHAnsi"/>
          <w:b w:val="0"/>
          <w:bCs w:val="0"/>
          <w:sz w:val="24"/>
          <w:szCs w:val="24"/>
          <w:lang w:val="pl-PL" w:eastAsia="en-US"/>
        </w:rPr>
        <w:t>u</w:t>
      </w:r>
      <w:proofErr w:type="spellEnd"/>
      <w:r w:rsidR="00C26CF2" w:rsidRPr="00B943F6">
        <w:rPr>
          <w:rFonts w:eastAsiaTheme="minorHAnsi"/>
          <w:b w:val="0"/>
          <w:bCs w:val="0"/>
          <w:sz w:val="24"/>
          <w:szCs w:val="24"/>
          <w:lang w:eastAsia="en-US"/>
        </w:rPr>
        <w:t xml:space="preserve"> usługowo-garażow</w:t>
      </w:r>
      <w:r w:rsidR="00C26CF2" w:rsidRPr="00B943F6">
        <w:rPr>
          <w:rFonts w:eastAsiaTheme="minorHAnsi"/>
          <w:b w:val="0"/>
          <w:bCs w:val="0"/>
          <w:sz w:val="24"/>
          <w:szCs w:val="24"/>
          <w:lang w:val="pl-PL" w:eastAsia="en-US"/>
        </w:rPr>
        <w:t>ego</w:t>
      </w:r>
      <w:r w:rsidR="00C26CF2" w:rsidRPr="00B943F6">
        <w:rPr>
          <w:rFonts w:eastAsiaTheme="minorHAnsi"/>
          <w:b w:val="0"/>
          <w:bCs w:val="0"/>
          <w:sz w:val="24"/>
          <w:szCs w:val="24"/>
          <w:lang w:eastAsia="en-US"/>
        </w:rPr>
        <w:t xml:space="preserve"> (B1) z parkingiem naziemnym</w:t>
      </w:r>
      <w:r w:rsidR="00C26CF2" w:rsidRPr="00B943F6">
        <w:rPr>
          <w:rFonts w:eastAsiaTheme="minorHAnsi"/>
          <w:b w:val="0"/>
          <w:bCs w:val="0"/>
          <w:sz w:val="24"/>
          <w:szCs w:val="24"/>
          <w:lang w:val="pl-PL" w:eastAsia="en-US"/>
        </w:rPr>
        <w:t>.</w:t>
      </w:r>
    </w:p>
    <w:p w14:paraId="5AC7E323" w14:textId="3E78C330" w:rsidR="00DF7A97" w:rsidRPr="00B943F6" w:rsidRDefault="007F0597" w:rsidP="00F32909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B943F6">
        <w:rPr>
          <w:b w:val="0"/>
          <w:sz w:val="24"/>
          <w:szCs w:val="24"/>
        </w:rPr>
        <w:t>Zadanie jest współfinansowane ze środków Unii Europejskiej, w ramach  Regionalnego Programu Operacyjnego Wo</w:t>
      </w:r>
      <w:r w:rsidR="00724CD4" w:rsidRPr="00B943F6">
        <w:rPr>
          <w:b w:val="0"/>
          <w:sz w:val="24"/>
          <w:szCs w:val="24"/>
        </w:rPr>
        <w:t>jewództwa Zachodniopomorskiego 2014-2020,</w:t>
      </w:r>
      <w:r w:rsidRPr="00B943F6">
        <w:rPr>
          <w:b w:val="0"/>
          <w:sz w:val="24"/>
          <w:szCs w:val="24"/>
        </w:rPr>
        <w:t>Oś Priorytetowa 2 Gospodarka niskoemisyjna, Działanie 2.2 Zrównoważona multimodalna mobilność miejska i działania adaptacyjne łagodzące zmiany klimatu w ramach Strategii ZIT dla Szczecińskiego Obszaru Metropolitalnego.</w:t>
      </w:r>
    </w:p>
    <w:p w14:paraId="51CBC8FD" w14:textId="77777777" w:rsidR="00DF7A97" w:rsidRPr="00B943F6" w:rsidRDefault="00DF7A97" w:rsidP="00724CD4">
      <w:pPr>
        <w:pStyle w:val="Tekstpodstawowy"/>
        <w:tabs>
          <w:tab w:val="clear" w:pos="567"/>
          <w:tab w:val="left" w:pos="709"/>
        </w:tabs>
        <w:spacing w:line="276" w:lineRule="auto"/>
        <w:ind w:left="720"/>
        <w:rPr>
          <w:b w:val="0"/>
          <w:sz w:val="24"/>
          <w:szCs w:val="24"/>
          <w:lang w:val="pl-PL"/>
        </w:rPr>
      </w:pPr>
    </w:p>
    <w:p w14:paraId="32D6FC0B" w14:textId="5A43BEA0" w:rsidR="00926CC7" w:rsidRPr="00B943F6" w:rsidRDefault="00926CC7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73F4E6D9" w14:textId="51CF9A3D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45D05CE" w14:textId="409101BD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15FC8D2C" w14:textId="40DE165E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30CE5BF" w14:textId="47854940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5F580035" w14:textId="4B91B8A2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30650E6C" w14:textId="0B801EA3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D24100E" w14:textId="19400C4C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92478EE" w14:textId="1B13700B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53BE1981" w14:textId="0537A28C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2639479" w14:textId="04A29D12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6D7068B8" w14:textId="096F1E3C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06E7A7C3" w14:textId="77777777" w:rsidR="0016258B" w:rsidRPr="00B943F6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08A93E12" w14:textId="3FD2041A" w:rsidR="00724CD4" w:rsidRPr="00B943F6" w:rsidRDefault="00724CD4" w:rsidP="00724CD4">
      <w:pPr>
        <w:pStyle w:val="Bezodstpw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943F6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>Rys. nr 1 – plan sytuacyjny</w:t>
      </w:r>
    </w:p>
    <w:p w14:paraId="7315C5DB" w14:textId="213ADB62" w:rsidR="00926CC7" w:rsidRPr="00B943F6" w:rsidRDefault="00724CD4" w:rsidP="00724CD4">
      <w:pPr>
        <w:pStyle w:val="Bezodstpw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3F6">
        <w:rPr>
          <w:rFonts w:ascii="Times New Roman" w:hAnsi="Times New Roman" w:cs="Times New Roman"/>
          <w:b/>
          <w:noProof/>
          <w:spacing w:val="-4"/>
          <w:sz w:val="24"/>
          <w:szCs w:val="24"/>
          <w:u w:val="single"/>
        </w:rPr>
        <w:t xml:space="preserve"> </w:t>
      </w:r>
      <w:r w:rsidR="00926CC7" w:rsidRPr="00B943F6">
        <w:rPr>
          <w:rFonts w:ascii="Times New Roman" w:hAnsi="Times New Roman" w:cs="Times New Roman"/>
          <w:b/>
          <w:noProof/>
          <w:spacing w:val="-4"/>
          <w:sz w:val="24"/>
          <w:szCs w:val="24"/>
          <w:u w:val="single"/>
          <w:lang w:eastAsia="pl-PL"/>
        </w:rPr>
        <w:drawing>
          <wp:inline distT="0" distB="0" distL="0" distR="0" wp14:anchorId="1BF03DCC" wp14:editId="67E42366">
            <wp:extent cx="6299609" cy="3363680"/>
            <wp:effectExtent l="0" t="0" r="635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15" cy="338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6DB2" w14:textId="206BBE9D" w:rsidR="007F0597" w:rsidRPr="00B943F6" w:rsidRDefault="007F0597" w:rsidP="00A346DA">
      <w:pPr>
        <w:pStyle w:val="Teksttreci1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A85B8A" w14:textId="1C34886E" w:rsidR="005703A8" w:rsidRPr="00B943F6" w:rsidRDefault="005703A8" w:rsidP="00BB2EE6">
      <w:pPr>
        <w:pStyle w:val="Akapitzlist"/>
        <w:spacing w:after="240"/>
        <w:ind w:left="-426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1BB83A3D" w14:textId="3E4E2B19" w:rsidR="005703A8" w:rsidRPr="00B943F6" w:rsidRDefault="005703A8" w:rsidP="003F0B77">
      <w:pPr>
        <w:pStyle w:val="Akapitzlist"/>
        <w:spacing w:after="24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6A48FF66" w14:textId="4E4868F3" w:rsidR="005703A8" w:rsidRPr="00B943F6" w:rsidRDefault="005703A8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4AEF011A" w14:textId="4CF6DF6F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5F1AEA24" w14:textId="1F76ABAB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26A49344" w14:textId="4AA80930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169C8BA4" w14:textId="6E4A965F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3E77A73C" w14:textId="3AA7AAAB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7B97DF5B" w14:textId="06517656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7E356401" w14:textId="3057B218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2F58094D" w14:textId="5E6A657D" w:rsidR="003F0B77" w:rsidRPr="00B943F6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55E5348D" w14:textId="4E40A641" w:rsidR="005703A8" w:rsidRPr="00B943F6" w:rsidRDefault="005703A8" w:rsidP="004825B2">
      <w:pPr>
        <w:spacing w:after="240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sectPr w:rsidR="005703A8" w:rsidRPr="00B943F6" w:rsidSect="003855D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C305" w14:textId="77777777" w:rsidR="004053FB" w:rsidRDefault="004053FB" w:rsidP="00B44774">
      <w:pPr>
        <w:spacing w:after="0" w:line="240" w:lineRule="auto"/>
      </w:pPr>
      <w:r>
        <w:separator/>
      </w:r>
    </w:p>
  </w:endnote>
  <w:endnote w:type="continuationSeparator" w:id="0">
    <w:p w14:paraId="6752C28C" w14:textId="77777777" w:rsidR="004053FB" w:rsidRDefault="004053FB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y 8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77BF9292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F6">
          <w:rPr>
            <w:noProof/>
          </w:rPr>
          <w:t>2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0DC3EC68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F6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1FC4" w14:textId="77777777" w:rsidR="004053FB" w:rsidRDefault="004053FB" w:rsidP="00B44774">
      <w:pPr>
        <w:spacing w:after="0" w:line="240" w:lineRule="auto"/>
      </w:pPr>
      <w:r>
        <w:separator/>
      </w:r>
    </w:p>
  </w:footnote>
  <w:footnote w:type="continuationSeparator" w:id="0">
    <w:p w14:paraId="63C65608" w14:textId="77777777" w:rsidR="004053FB" w:rsidRDefault="004053FB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E163" w14:textId="3D84690C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b/>
        <w:snapToGrid w:val="0"/>
        <w:sz w:val="24"/>
        <w:szCs w:val="24"/>
      </w:rPr>
    </w:pPr>
    <w:r w:rsidRPr="00B44774">
      <w:rPr>
        <w:rFonts w:ascii="Times New Roman" w:hAnsi="Times New Roman" w:cs="Times New Roman"/>
        <w:b/>
        <w:snapToGrid w:val="0"/>
        <w:sz w:val="24"/>
        <w:szCs w:val="24"/>
      </w:rPr>
      <w:t>Załącznik nr 2.3 do SIWZ WIM.271.</w:t>
    </w:r>
    <w:r w:rsidR="00B943F6">
      <w:rPr>
        <w:rFonts w:ascii="Times New Roman" w:hAnsi="Times New Roman" w:cs="Times New Roman"/>
        <w:b/>
        <w:snapToGrid w:val="0"/>
        <w:sz w:val="24"/>
        <w:szCs w:val="24"/>
      </w:rPr>
      <w:t>1.26</w:t>
    </w:r>
    <w:r w:rsidR="006D56F2">
      <w:rPr>
        <w:rFonts w:ascii="Times New Roman" w:hAnsi="Times New Roman" w:cs="Times New Roman"/>
        <w:b/>
        <w:snapToGrid w:val="0"/>
        <w:sz w:val="24"/>
        <w:szCs w:val="24"/>
      </w:rPr>
      <w:t>.2020</w:t>
    </w:r>
  </w:p>
  <w:p w14:paraId="0F565A13" w14:textId="708B2E19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snapToGrid w:val="0"/>
        <w:sz w:val="24"/>
        <w:szCs w:val="24"/>
      </w:rPr>
    </w:pPr>
    <w:r>
      <w:rPr>
        <w:rFonts w:ascii="Times New Roman" w:hAnsi="Times New Roman" w:cs="Times New Roman"/>
        <w:snapToGrid w:val="0"/>
        <w:sz w:val="24"/>
        <w:szCs w:val="24"/>
      </w:rPr>
      <w:t>Z</w:t>
    </w:r>
    <w:r w:rsidRPr="00B44774">
      <w:rPr>
        <w:rFonts w:ascii="Times New Roman" w:hAnsi="Times New Roman" w:cs="Times New Roman"/>
        <w:snapToGrid w:val="0"/>
        <w:sz w:val="24"/>
        <w:szCs w:val="24"/>
      </w:rPr>
      <w:t xml:space="preserve">ałącznik nr 3 do umowy nr </w:t>
    </w:r>
    <w:r>
      <w:rPr>
        <w:rFonts w:ascii="Times New Roman" w:hAnsi="Times New Roman" w:cs="Times New Roman"/>
        <w:snapToGrid w:val="0"/>
        <w:sz w:val="24"/>
        <w:szCs w:val="24"/>
      </w:rPr>
      <w:t>W</w:t>
    </w:r>
    <w:r w:rsidRPr="00B44774">
      <w:rPr>
        <w:rFonts w:ascii="Times New Roman" w:hAnsi="Times New Roman" w:cs="Times New Roman"/>
        <w:snapToGrid w:val="0"/>
        <w:sz w:val="24"/>
        <w:szCs w:val="24"/>
      </w:rPr>
      <w:t>IM/</w:t>
    </w:r>
    <w:r>
      <w:rPr>
        <w:rFonts w:ascii="Times New Roman" w:hAnsi="Times New Roman" w:cs="Times New Roman"/>
        <w:snapToGrid w:val="0"/>
        <w:sz w:val="24"/>
        <w:szCs w:val="24"/>
      </w:rPr>
      <w:t>…</w:t>
    </w:r>
    <w:r w:rsidR="006D56F2">
      <w:rPr>
        <w:rFonts w:ascii="Times New Roman" w:hAnsi="Times New Roman" w:cs="Times New Roman"/>
        <w:snapToGrid w:val="0"/>
        <w:sz w:val="24"/>
        <w:szCs w:val="24"/>
      </w:rPr>
      <w:t>…./2020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F1"/>
    <w:multiLevelType w:val="hybridMultilevel"/>
    <w:tmpl w:val="C134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864"/>
    <w:multiLevelType w:val="hybridMultilevel"/>
    <w:tmpl w:val="B292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16F"/>
    <w:multiLevelType w:val="hybridMultilevel"/>
    <w:tmpl w:val="C66CD9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7331AF2"/>
    <w:multiLevelType w:val="hybridMultilevel"/>
    <w:tmpl w:val="F64A3FE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4D7678"/>
    <w:multiLevelType w:val="hybridMultilevel"/>
    <w:tmpl w:val="6592EBEA"/>
    <w:lvl w:ilvl="0" w:tplc="803C0878">
      <w:start w:val="2"/>
      <w:numFmt w:val="upperRoman"/>
      <w:lvlText w:val="%1."/>
      <w:lvlJc w:val="left"/>
      <w:pPr>
        <w:ind w:left="149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94AAC"/>
    <w:multiLevelType w:val="hybridMultilevel"/>
    <w:tmpl w:val="BA6E8F7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F961AD"/>
    <w:multiLevelType w:val="hybridMultilevel"/>
    <w:tmpl w:val="D9E8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4D42032"/>
    <w:multiLevelType w:val="hybridMultilevel"/>
    <w:tmpl w:val="91AAC63A"/>
    <w:lvl w:ilvl="0" w:tplc="3580EE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8486D"/>
    <w:multiLevelType w:val="hybridMultilevel"/>
    <w:tmpl w:val="7B887388"/>
    <w:lvl w:ilvl="0" w:tplc="CF824E92">
      <w:start w:val="1"/>
      <w:numFmt w:val="bullet"/>
      <w:lvlText w:val="-"/>
      <w:lvlJc w:val="left"/>
      <w:pPr>
        <w:ind w:left="720" w:hanging="360"/>
      </w:pPr>
      <w:rPr>
        <w:rFonts w:hAnsi="Proxy 8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54CC"/>
    <w:multiLevelType w:val="multilevel"/>
    <w:tmpl w:val="A446880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D34876"/>
    <w:multiLevelType w:val="hybridMultilevel"/>
    <w:tmpl w:val="B7E0A85E"/>
    <w:lvl w:ilvl="0" w:tplc="41664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18"/>
  </w:num>
  <w:num w:numId="17">
    <w:abstractNumId w:val="0"/>
  </w:num>
  <w:num w:numId="18">
    <w:abstractNumId w:val="10"/>
  </w:num>
  <w:num w:numId="1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migielska">
    <w15:presenceInfo w15:providerId="None" w15:userId="asmigie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0"/>
    <w:rsid w:val="000035C7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6EF8"/>
    <w:rsid w:val="0005791C"/>
    <w:rsid w:val="00057E00"/>
    <w:rsid w:val="00061B00"/>
    <w:rsid w:val="00073724"/>
    <w:rsid w:val="00076772"/>
    <w:rsid w:val="00083007"/>
    <w:rsid w:val="00090788"/>
    <w:rsid w:val="000913CB"/>
    <w:rsid w:val="00094E26"/>
    <w:rsid w:val="0009586A"/>
    <w:rsid w:val="00095A64"/>
    <w:rsid w:val="00095C7C"/>
    <w:rsid w:val="000B1A2B"/>
    <w:rsid w:val="000C0123"/>
    <w:rsid w:val="000E16A2"/>
    <w:rsid w:val="000E699A"/>
    <w:rsid w:val="000F21EE"/>
    <w:rsid w:val="0010045C"/>
    <w:rsid w:val="00100F78"/>
    <w:rsid w:val="001125CE"/>
    <w:rsid w:val="0011639F"/>
    <w:rsid w:val="00116E73"/>
    <w:rsid w:val="0014458A"/>
    <w:rsid w:val="00146D38"/>
    <w:rsid w:val="00147CC8"/>
    <w:rsid w:val="001570FB"/>
    <w:rsid w:val="001616C3"/>
    <w:rsid w:val="001618C0"/>
    <w:rsid w:val="0016258B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77A7"/>
    <w:rsid w:val="001E3B73"/>
    <w:rsid w:val="001F0DDB"/>
    <w:rsid w:val="001F1669"/>
    <w:rsid w:val="001F5D5E"/>
    <w:rsid w:val="001F7247"/>
    <w:rsid w:val="00203FEE"/>
    <w:rsid w:val="00221368"/>
    <w:rsid w:val="00226060"/>
    <w:rsid w:val="00231D1E"/>
    <w:rsid w:val="00231F77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B43AE"/>
    <w:rsid w:val="002C521F"/>
    <w:rsid w:val="002D5CD1"/>
    <w:rsid w:val="002F3F8A"/>
    <w:rsid w:val="0030547C"/>
    <w:rsid w:val="003066DB"/>
    <w:rsid w:val="00314509"/>
    <w:rsid w:val="00325E04"/>
    <w:rsid w:val="00347F1F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470"/>
    <w:rsid w:val="003855D7"/>
    <w:rsid w:val="00392A58"/>
    <w:rsid w:val="00392B59"/>
    <w:rsid w:val="00395295"/>
    <w:rsid w:val="003A0055"/>
    <w:rsid w:val="003A1C19"/>
    <w:rsid w:val="003B58DC"/>
    <w:rsid w:val="003D2B6D"/>
    <w:rsid w:val="003D6EFD"/>
    <w:rsid w:val="003E34BF"/>
    <w:rsid w:val="003E7E68"/>
    <w:rsid w:val="003F0B77"/>
    <w:rsid w:val="003F4079"/>
    <w:rsid w:val="004014ED"/>
    <w:rsid w:val="00402E4B"/>
    <w:rsid w:val="004053FB"/>
    <w:rsid w:val="00412900"/>
    <w:rsid w:val="00414993"/>
    <w:rsid w:val="004160FE"/>
    <w:rsid w:val="00416168"/>
    <w:rsid w:val="0042450B"/>
    <w:rsid w:val="004325B9"/>
    <w:rsid w:val="00446760"/>
    <w:rsid w:val="0045066F"/>
    <w:rsid w:val="004739D0"/>
    <w:rsid w:val="0047617C"/>
    <w:rsid w:val="004825B2"/>
    <w:rsid w:val="00483958"/>
    <w:rsid w:val="004866E8"/>
    <w:rsid w:val="004948CA"/>
    <w:rsid w:val="00495E19"/>
    <w:rsid w:val="004A13CF"/>
    <w:rsid w:val="004A1938"/>
    <w:rsid w:val="004B0370"/>
    <w:rsid w:val="004B6136"/>
    <w:rsid w:val="004C0B55"/>
    <w:rsid w:val="004C2B47"/>
    <w:rsid w:val="004D1BED"/>
    <w:rsid w:val="004F38BA"/>
    <w:rsid w:val="00500B16"/>
    <w:rsid w:val="00502C42"/>
    <w:rsid w:val="00512008"/>
    <w:rsid w:val="005142A4"/>
    <w:rsid w:val="00517022"/>
    <w:rsid w:val="00523BF6"/>
    <w:rsid w:val="00523C29"/>
    <w:rsid w:val="0052411B"/>
    <w:rsid w:val="00524E51"/>
    <w:rsid w:val="00532941"/>
    <w:rsid w:val="00533C87"/>
    <w:rsid w:val="00537995"/>
    <w:rsid w:val="00540A58"/>
    <w:rsid w:val="0054447D"/>
    <w:rsid w:val="00565AF8"/>
    <w:rsid w:val="00565CD0"/>
    <w:rsid w:val="005703A8"/>
    <w:rsid w:val="00574EFB"/>
    <w:rsid w:val="00586851"/>
    <w:rsid w:val="00595E04"/>
    <w:rsid w:val="005A5C08"/>
    <w:rsid w:val="005A73F0"/>
    <w:rsid w:val="005B326C"/>
    <w:rsid w:val="005C0EDE"/>
    <w:rsid w:val="005C554E"/>
    <w:rsid w:val="005C7FB7"/>
    <w:rsid w:val="005E1985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1223"/>
    <w:rsid w:val="00694BBC"/>
    <w:rsid w:val="006A5782"/>
    <w:rsid w:val="006B4FA7"/>
    <w:rsid w:val="006B6711"/>
    <w:rsid w:val="006C0502"/>
    <w:rsid w:val="006C2800"/>
    <w:rsid w:val="006D56F2"/>
    <w:rsid w:val="006E0D57"/>
    <w:rsid w:val="006F403B"/>
    <w:rsid w:val="006F6231"/>
    <w:rsid w:val="0070156F"/>
    <w:rsid w:val="00706ACC"/>
    <w:rsid w:val="007075FF"/>
    <w:rsid w:val="00721C94"/>
    <w:rsid w:val="00724CD4"/>
    <w:rsid w:val="0072589E"/>
    <w:rsid w:val="00726630"/>
    <w:rsid w:val="00755AC0"/>
    <w:rsid w:val="007656AB"/>
    <w:rsid w:val="00765A41"/>
    <w:rsid w:val="00773DE4"/>
    <w:rsid w:val="00786C72"/>
    <w:rsid w:val="00794602"/>
    <w:rsid w:val="00796089"/>
    <w:rsid w:val="007962C0"/>
    <w:rsid w:val="007A5EAF"/>
    <w:rsid w:val="007A6F36"/>
    <w:rsid w:val="007B3FF5"/>
    <w:rsid w:val="007B4296"/>
    <w:rsid w:val="007D03FE"/>
    <w:rsid w:val="007E5554"/>
    <w:rsid w:val="007E6CE6"/>
    <w:rsid w:val="007E7EC3"/>
    <w:rsid w:val="007F0597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2440"/>
    <w:rsid w:val="008A54C9"/>
    <w:rsid w:val="008B5F4F"/>
    <w:rsid w:val="008B77E8"/>
    <w:rsid w:val="008C43D1"/>
    <w:rsid w:val="008E4070"/>
    <w:rsid w:val="008E61AF"/>
    <w:rsid w:val="008E7B5C"/>
    <w:rsid w:val="00910200"/>
    <w:rsid w:val="009122C3"/>
    <w:rsid w:val="00914D20"/>
    <w:rsid w:val="0092026B"/>
    <w:rsid w:val="00922059"/>
    <w:rsid w:val="00926CC7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0651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346DA"/>
    <w:rsid w:val="00A419ED"/>
    <w:rsid w:val="00A44AC1"/>
    <w:rsid w:val="00A50643"/>
    <w:rsid w:val="00A63355"/>
    <w:rsid w:val="00A717E7"/>
    <w:rsid w:val="00A719A0"/>
    <w:rsid w:val="00A80A80"/>
    <w:rsid w:val="00A84C27"/>
    <w:rsid w:val="00A84D84"/>
    <w:rsid w:val="00AA4866"/>
    <w:rsid w:val="00AA64EE"/>
    <w:rsid w:val="00AA6C8B"/>
    <w:rsid w:val="00AC7696"/>
    <w:rsid w:val="00AD1941"/>
    <w:rsid w:val="00AE6681"/>
    <w:rsid w:val="00AF4597"/>
    <w:rsid w:val="00AF5166"/>
    <w:rsid w:val="00B06B8D"/>
    <w:rsid w:val="00B12247"/>
    <w:rsid w:val="00B12E2B"/>
    <w:rsid w:val="00B16C07"/>
    <w:rsid w:val="00B20039"/>
    <w:rsid w:val="00B34D44"/>
    <w:rsid w:val="00B357A4"/>
    <w:rsid w:val="00B4197F"/>
    <w:rsid w:val="00B429C4"/>
    <w:rsid w:val="00B438D7"/>
    <w:rsid w:val="00B44774"/>
    <w:rsid w:val="00B46E6F"/>
    <w:rsid w:val="00B51BFF"/>
    <w:rsid w:val="00B524F4"/>
    <w:rsid w:val="00B543CD"/>
    <w:rsid w:val="00B54551"/>
    <w:rsid w:val="00B55CD4"/>
    <w:rsid w:val="00B57960"/>
    <w:rsid w:val="00B600EF"/>
    <w:rsid w:val="00B61332"/>
    <w:rsid w:val="00B6157D"/>
    <w:rsid w:val="00B64759"/>
    <w:rsid w:val="00B74CB7"/>
    <w:rsid w:val="00B940AF"/>
    <w:rsid w:val="00B943F6"/>
    <w:rsid w:val="00B96C4B"/>
    <w:rsid w:val="00BA723C"/>
    <w:rsid w:val="00BB276B"/>
    <w:rsid w:val="00BB2EE6"/>
    <w:rsid w:val="00BD2CE7"/>
    <w:rsid w:val="00BD3B9E"/>
    <w:rsid w:val="00BE3A48"/>
    <w:rsid w:val="00BE6850"/>
    <w:rsid w:val="00BE7121"/>
    <w:rsid w:val="00BE7684"/>
    <w:rsid w:val="00BF35F8"/>
    <w:rsid w:val="00BF6B0F"/>
    <w:rsid w:val="00C06014"/>
    <w:rsid w:val="00C0653E"/>
    <w:rsid w:val="00C06E86"/>
    <w:rsid w:val="00C12B3F"/>
    <w:rsid w:val="00C1789C"/>
    <w:rsid w:val="00C26CF2"/>
    <w:rsid w:val="00C3193F"/>
    <w:rsid w:val="00C37375"/>
    <w:rsid w:val="00C503CE"/>
    <w:rsid w:val="00C54AA3"/>
    <w:rsid w:val="00C56809"/>
    <w:rsid w:val="00C60FA1"/>
    <w:rsid w:val="00C6552E"/>
    <w:rsid w:val="00C70C78"/>
    <w:rsid w:val="00C85BED"/>
    <w:rsid w:val="00C87B02"/>
    <w:rsid w:val="00CA0B33"/>
    <w:rsid w:val="00CA1A6D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457A4"/>
    <w:rsid w:val="00D53042"/>
    <w:rsid w:val="00D745C6"/>
    <w:rsid w:val="00D81C28"/>
    <w:rsid w:val="00D8469C"/>
    <w:rsid w:val="00D87149"/>
    <w:rsid w:val="00D95529"/>
    <w:rsid w:val="00DA3759"/>
    <w:rsid w:val="00DA46AE"/>
    <w:rsid w:val="00DB68E2"/>
    <w:rsid w:val="00DD2BF0"/>
    <w:rsid w:val="00DD6C05"/>
    <w:rsid w:val="00DF1493"/>
    <w:rsid w:val="00DF4361"/>
    <w:rsid w:val="00DF7A97"/>
    <w:rsid w:val="00E13741"/>
    <w:rsid w:val="00E1454E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65310"/>
    <w:rsid w:val="00E70DD6"/>
    <w:rsid w:val="00E719EC"/>
    <w:rsid w:val="00E74193"/>
    <w:rsid w:val="00E83EBD"/>
    <w:rsid w:val="00E859D7"/>
    <w:rsid w:val="00E85B0A"/>
    <w:rsid w:val="00E8752B"/>
    <w:rsid w:val="00E901BC"/>
    <w:rsid w:val="00EA1ABF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07A20"/>
    <w:rsid w:val="00F21638"/>
    <w:rsid w:val="00F32909"/>
    <w:rsid w:val="00F36129"/>
    <w:rsid w:val="00F425D7"/>
    <w:rsid w:val="00F478F2"/>
    <w:rsid w:val="00F544E7"/>
    <w:rsid w:val="00F668CB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1D0D"/>
    <w:rsid w:val="00FF3020"/>
    <w:rsid w:val="00FF3D6F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4160F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60F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treci12">
    <w:name w:val="Tekst treści (12)_"/>
    <w:link w:val="Teksttreci120"/>
    <w:rsid w:val="00A346DA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346DA"/>
    <w:pPr>
      <w:widowControl w:val="0"/>
      <w:shd w:val="clear" w:color="auto" w:fill="FFFFFF"/>
      <w:spacing w:after="60" w:line="254" w:lineRule="exact"/>
      <w:ind w:hanging="460"/>
      <w:jc w:val="both"/>
    </w:pPr>
    <w:rPr>
      <w:rFonts w:ascii="Arial Narrow" w:eastAsia="Arial Narrow" w:hAnsi="Arial Narrow" w:cs="Arial Narrow"/>
      <w:lang w:eastAsia="en-US"/>
    </w:rPr>
  </w:style>
  <w:style w:type="paragraph" w:styleId="Bezodstpw">
    <w:name w:val="No Spacing"/>
    <w:qFormat/>
    <w:rsid w:val="00F2163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50">
    <w:name w:val="Font Style50"/>
    <w:uiPriority w:val="99"/>
    <w:rsid w:val="00AA64E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4160F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60F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treci12">
    <w:name w:val="Tekst treści (12)_"/>
    <w:link w:val="Teksttreci120"/>
    <w:rsid w:val="00A346DA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346DA"/>
    <w:pPr>
      <w:widowControl w:val="0"/>
      <w:shd w:val="clear" w:color="auto" w:fill="FFFFFF"/>
      <w:spacing w:after="60" w:line="254" w:lineRule="exact"/>
      <w:ind w:hanging="460"/>
      <w:jc w:val="both"/>
    </w:pPr>
    <w:rPr>
      <w:rFonts w:ascii="Arial Narrow" w:eastAsia="Arial Narrow" w:hAnsi="Arial Narrow" w:cs="Arial Narrow"/>
      <w:lang w:eastAsia="en-US"/>
    </w:rPr>
  </w:style>
  <w:style w:type="paragraph" w:styleId="Bezodstpw">
    <w:name w:val="No Spacing"/>
    <w:qFormat/>
    <w:rsid w:val="00F2163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50">
    <w:name w:val="Font Style50"/>
    <w:uiPriority w:val="99"/>
    <w:rsid w:val="00AA64E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F468-7E33-4D4E-8B97-E342F41A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24</cp:revision>
  <cp:lastPrinted>2020-05-29T08:46:00Z</cp:lastPrinted>
  <dcterms:created xsi:type="dcterms:W3CDTF">2020-03-26T13:09:00Z</dcterms:created>
  <dcterms:modified xsi:type="dcterms:W3CDTF">2020-07-20T09:52:00Z</dcterms:modified>
</cp:coreProperties>
</file>