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F7" w:rsidRDefault="00F425F7" w:rsidP="00931967">
      <w:pPr>
        <w:autoSpaceDE w:val="0"/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Załącznik nr 2</w:t>
      </w:r>
    </w:p>
    <w:p w:rsidR="00F425F7" w:rsidRDefault="00F425F7" w:rsidP="00F425F7">
      <w:pPr>
        <w:autoSpaceDE w:val="0"/>
        <w:ind w:left="5663" w:firstLine="709"/>
      </w:pPr>
      <w:r>
        <w:rPr>
          <w:rFonts w:eastAsia="Times New Roman"/>
          <w:sz w:val="20"/>
          <w:szCs w:val="20"/>
        </w:rPr>
        <w:t xml:space="preserve">do zarządzenia nr </w:t>
      </w:r>
      <w:r w:rsidR="00FF1718">
        <w:rPr>
          <w:rFonts w:eastAsia="Times New Roman"/>
          <w:sz w:val="20"/>
          <w:szCs w:val="20"/>
        </w:rPr>
        <w:t>214/2020</w:t>
      </w:r>
    </w:p>
    <w:p w:rsidR="00F425F7" w:rsidRDefault="00F425F7" w:rsidP="00F425F7">
      <w:pPr>
        <w:autoSpaceDE w:val="0"/>
        <w:ind w:left="63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Prezydenta Miasta  Świnoujście</w:t>
      </w:r>
    </w:p>
    <w:p w:rsidR="00F425F7" w:rsidRDefault="00F425F7" w:rsidP="00F425F7">
      <w:pPr>
        <w:autoSpaceDE w:val="0"/>
        <w:ind w:left="5664" w:firstLine="708"/>
      </w:pPr>
      <w:r>
        <w:rPr>
          <w:rFonts w:eastAsia="Times New Roman"/>
          <w:sz w:val="20"/>
          <w:szCs w:val="20"/>
        </w:rPr>
        <w:t xml:space="preserve">z dnia </w:t>
      </w:r>
      <w:r w:rsidR="00FF1718">
        <w:rPr>
          <w:rFonts w:eastAsia="Times New Roman"/>
          <w:sz w:val="20"/>
          <w:szCs w:val="20"/>
        </w:rPr>
        <w:t>24 marca 2020 r.</w:t>
      </w:r>
      <w:bookmarkStart w:id="0" w:name="_GoBack"/>
      <w:bookmarkEnd w:id="0"/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F425F7" w:rsidRDefault="00F425F7" w:rsidP="00F425F7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ZADANIA  PUBLICZNEGO  Z  ZAKRESU  </w:t>
      </w:r>
      <w:r w:rsidR="00357EBB">
        <w:rPr>
          <w:rFonts w:eastAsia="Times New Roman"/>
          <w:b/>
          <w:bCs/>
        </w:rPr>
        <w:t xml:space="preserve">DZIAŁALNOŚCI </w:t>
      </w:r>
      <w:r w:rsidR="002C166E">
        <w:rPr>
          <w:rFonts w:eastAsia="Times New Roman"/>
          <w:b/>
          <w:bCs/>
        </w:rPr>
        <w:t>NA RZECZ INTEGRACJI E3UROPEJSKIEJ ORAZ ROZWIJANIA KONTAKTÓW I WSPÓLPRACY MIĘDZY SPOŁECZEŃSTWAMI</w:t>
      </w:r>
    </w:p>
    <w:p w:rsidR="00F425F7" w:rsidRDefault="00F425F7" w:rsidP="00F425F7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F425F7" w:rsidRDefault="00F425F7" w:rsidP="00F425F7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F425F7" w:rsidRDefault="00F425F7" w:rsidP="00F425F7">
      <w:pPr>
        <w:tabs>
          <w:tab w:val="left" w:pos="-540"/>
        </w:tabs>
        <w:autoSpaceDE w:val="0"/>
        <w:ind w:left="15" w:firstLine="15"/>
        <w:jc w:val="both"/>
      </w:pPr>
      <w:r>
        <w:rPr>
          <w:rFonts w:eastAsia="Times New Roman"/>
          <w:lang w:eastAsia="en-US" w:bidi="en-US"/>
        </w:rPr>
        <w:t xml:space="preserve">1. Realizacja zadania publicznego z zakresu </w:t>
      </w:r>
      <w:r w:rsidR="00931967">
        <w:rPr>
          <w:rFonts w:eastAsia="Times New Roman"/>
          <w:lang w:eastAsia="en-US" w:bidi="en-US"/>
        </w:rPr>
        <w:t>działalności na rzecz integracji europejskiej oraz rozwijania kontaktów i współpracy między społeczeństwami</w:t>
      </w:r>
      <w:r w:rsidR="00386166">
        <w:rPr>
          <w:rFonts w:eastAsia="Times New Roman"/>
          <w:lang w:eastAsia="en-US" w:bidi="en-US"/>
        </w:rPr>
        <w:t xml:space="preserve"> na terenie </w:t>
      </w:r>
      <w:r>
        <w:rPr>
          <w:rFonts w:eastAsia="Times New Roman"/>
          <w:lang w:eastAsia="en-US" w:bidi="en-US"/>
        </w:rPr>
        <w:t>miasta Świnoujście</w:t>
      </w:r>
      <w:r w:rsidR="00386166">
        <w:rPr>
          <w:rFonts w:eastAsia="Times New Roman"/>
          <w:lang w:eastAsia="en-US" w:bidi="en-US"/>
        </w:rPr>
        <w:t xml:space="preserve"> odbywa się </w:t>
      </w:r>
      <w:r>
        <w:rPr>
          <w:rFonts w:eastAsia="Times New Roman"/>
          <w:lang w:eastAsia="en-US" w:bidi="en-US"/>
        </w:rPr>
        <w:t xml:space="preserve"> przez podmioty uprawnione </w:t>
      </w:r>
      <w:r w:rsidR="00386166">
        <w:rPr>
          <w:rFonts w:eastAsia="Times New Roman"/>
          <w:lang w:eastAsia="en-US" w:bidi="en-US"/>
        </w:rPr>
        <w:t xml:space="preserve">wyłonione </w:t>
      </w:r>
      <w:r>
        <w:rPr>
          <w:rFonts w:eastAsia="Times New Roman"/>
          <w:lang w:eastAsia="en-US" w:bidi="en-US"/>
        </w:rPr>
        <w:t xml:space="preserve"> w drodze otwartego konkursu ofert na podstawie:</w:t>
      </w:r>
    </w:p>
    <w:p w:rsidR="00F425F7" w:rsidRDefault="00F425F7" w:rsidP="00F425F7">
      <w:pPr>
        <w:autoSpaceDE w:val="0"/>
        <w:jc w:val="both"/>
      </w:pPr>
      <w:r>
        <w:rPr>
          <w:rFonts w:eastAsia="Times New Roman"/>
          <w:lang w:eastAsia="en-US" w:bidi="en-US"/>
        </w:rPr>
        <w:t xml:space="preserve">1) ustawy z dnia 24 kwietnia 2003 r. o działalności pożytku publicznego i o wolontariacie </w:t>
      </w:r>
      <w:r w:rsidR="00931967">
        <w:rPr>
          <w:rFonts w:eastAsia="Times New Roman"/>
          <w:lang w:eastAsia="en-US" w:bidi="en-US"/>
        </w:rPr>
        <w:t xml:space="preserve">                                </w:t>
      </w:r>
      <w:r>
        <w:rPr>
          <w:rFonts w:eastAsia="Times New Roman"/>
          <w:lang w:eastAsia="en-US" w:bidi="en-US"/>
        </w:rPr>
        <w:t>(</w:t>
      </w:r>
      <w:r>
        <w:rPr>
          <w:rFonts w:eastAsia="Times New Roman"/>
          <w:lang w:eastAsia="ar-SA"/>
        </w:rPr>
        <w:t>Dz. U. z   2019 r. poz. 688 z późn. zm.</w:t>
      </w:r>
      <w:r>
        <w:rPr>
          <w:rFonts w:eastAsia="Times New Roman"/>
          <w:lang w:eastAsia="en-US" w:bidi="en-US"/>
        </w:rPr>
        <w:t>), zwanej dalej „ustawą”,</w:t>
      </w:r>
    </w:p>
    <w:p w:rsidR="00F425F7" w:rsidRDefault="00F425F7" w:rsidP="00F425F7">
      <w:pPr>
        <w:jc w:val="both"/>
      </w:pPr>
      <w:r>
        <w:rPr>
          <w:rFonts w:eastAsia="Times New Roman"/>
          <w:lang w:eastAsia="en-US" w:bidi="en-US"/>
        </w:rPr>
        <w:t xml:space="preserve">2) niniejszego Regulaminu otwartego konkursu ofert na realizację zadań publicznych z zakresu  </w:t>
      </w:r>
      <w:r w:rsidR="00931967">
        <w:rPr>
          <w:rFonts w:eastAsia="Times New Roman"/>
          <w:lang w:eastAsia="en-US" w:bidi="en-US"/>
        </w:rPr>
        <w:t>działalności na rzecz integracji europejskiej oraz rozwijania kontaktów i współpracy między społeczeństwami</w:t>
      </w:r>
      <w:r>
        <w:rPr>
          <w:rFonts w:eastAsia="Times New Roman"/>
          <w:lang w:eastAsia="en-US" w:bidi="en-US"/>
        </w:rPr>
        <w:t xml:space="preserve">, </w:t>
      </w:r>
      <w:r>
        <w:t>zwanego dalej „Regulaminem”.</w:t>
      </w:r>
    </w:p>
    <w:p w:rsidR="00931967" w:rsidRPr="00931967" w:rsidRDefault="00F425F7" w:rsidP="00931967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en-US" w:bidi="en-US"/>
        </w:rPr>
        <w:t xml:space="preserve">2. Celem otwartego konkursu ofert na realizację zadania publicznego z zakresu </w:t>
      </w:r>
      <w:r w:rsidR="00931967">
        <w:rPr>
          <w:rFonts w:eastAsia="Times New Roman"/>
          <w:lang w:eastAsia="en-US" w:bidi="en-US"/>
        </w:rPr>
        <w:t xml:space="preserve"> działalności na rzecz integracji europejskiej oraz rozwijania kontaktów i współpracy miedzy społeczeństwami </w:t>
      </w:r>
      <w:r>
        <w:rPr>
          <w:rFonts w:eastAsia="Times New Roman"/>
          <w:lang w:eastAsia="en-US" w:bidi="en-US"/>
        </w:rPr>
        <w:t>jest wyłonienie i zlecenie podmiotowi uprawnionemu do realizacji zadania publicznego p</w:t>
      </w:r>
      <w:r w:rsidR="004C4926">
        <w:rPr>
          <w:rFonts w:eastAsia="Times New Roman"/>
          <w:lang w:eastAsia="en-US" w:bidi="en-US"/>
        </w:rPr>
        <w:t>n.</w:t>
      </w:r>
      <w:r w:rsidR="004C4926" w:rsidRPr="004C4926">
        <w:rPr>
          <w:rFonts w:eastAsia="Times New Roman"/>
          <w:kern w:val="0"/>
          <w:lang w:eastAsia="ar-SA"/>
        </w:rPr>
        <w:t xml:space="preserve"> </w:t>
      </w:r>
      <w:r w:rsidR="00931967" w:rsidRPr="00931967">
        <w:rPr>
          <w:rFonts w:eastAsia="Lucida Sans Unicode" w:cs="Tahoma"/>
          <w:color w:val="000000"/>
          <w:lang w:eastAsia="ar-SA" w:bidi="en-US"/>
        </w:rPr>
        <w:t>Inicjowanie, rozwój i wzbogacanie form współpracy miedzy społeczeństwami polskim i niemieckim” .</w:t>
      </w:r>
    </w:p>
    <w:p w:rsidR="00F425F7" w:rsidRDefault="00F425F7" w:rsidP="00F425F7">
      <w:pPr>
        <w:tabs>
          <w:tab w:val="left" w:pos="720"/>
        </w:tabs>
        <w:autoSpaceDE w:val="0"/>
        <w:ind w:left="720"/>
        <w:jc w:val="both"/>
        <w:rPr>
          <w:rFonts w:eastAsia="Times New Roman"/>
          <w:b/>
          <w:bCs/>
        </w:rPr>
      </w:pPr>
    </w:p>
    <w:p w:rsidR="00F425F7" w:rsidRDefault="00F425F7" w:rsidP="00F425F7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2</w:t>
      </w:r>
    </w:p>
    <w:p w:rsidR="00F425F7" w:rsidRDefault="00F425F7" w:rsidP="00F425F7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931967" w:rsidRDefault="00F425F7" w:rsidP="003055FC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 xml:space="preserve">„Konkursie” – rozumie się przez to otwarty konkurs ofert na realizację zadania publicznego z zakresu działalności </w:t>
      </w:r>
      <w:r w:rsidR="00931967">
        <w:rPr>
          <w:lang w:eastAsia="en-US" w:bidi="en-US"/>
        </w:rPr>
        <w:t>na rzecz integracji europejskiej oraz rozwijania kontaktów i współpracy miedzy społeczeństwami</w:t>
      </w:r>
    </w:p>
    <w:p w:rsidR="00F425F7" w:rsidRDefault="00F425F7" w:rsidP="003055FC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„Komisji” – rozumie się przez to komisję konkursową.</w:t>
      </w:r>
    </w:p>
    <w:p w:rsidR="00F425F7" w:rsidRDefault="00F425F7" w:rsidP="00F425F7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</w:p>
    <w:p w:rsidR="00F425F7" w:rsidRDefault="00F425F7" w:rsidP="00F425F7">
      <w:pPr>
        <w:autoSpaceDE w:val="0"/>
        <w:ind w:left="284"/>
        <w:jc w:val="both"/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przedsiębiorstwa, instytuty badawcze, banki i spółki prawa handlowego będące państwowymi lub samorządowymi osobami prawnymi i 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 i stowarzyszenia, z zastrzeżeniem art. 3 ust. 4 ustawy o pożytku publicznym i o wolontariacie,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F425F7" w:rsidRDefault="00F425F7" w:rsidP="00F425F7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 związków wyznaniowych oraz o gwarancjach wolności sumienia i wyznania, jeżeli ich cele statutowe obejmują prowadzenie działalności pożytku publicznego;</w:t>
      </w:r>
    </w:p>
    <w:p w:rsidR="00F425F7" w:rsidRDefault="00F425F7" w:rsidP="00F425F7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F425F7" w:rsidRDefault="00F425F7" w:rsidP="00F425F7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F425F7" w:rsidRDefault="00F425F7" w:rsidP="00F425F7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2019 r. poz. 1468 z późn.zm.), które nie działają w celu osiągnięcia zysku oraz przeznaczają całość dochodu na realizację celów statutowych oraz nie przeznaczają zysku do podziału między swoich udziałowców, akcjonariuszy i pracowników.</w:t>
      </w:r>
    </w:p>
    <w:p w:rsidR="00B57DE7" w:rsidRDefault="00F425F7" w:rsidP="00B57DE7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4. „Organie zlecającym” - rozumie się przez to Prezydenta Miasta Świnoujście, upoważnionego do powoływania i odwoływania Komisji oraz udzielającego dotacji na finansowanie lub dofinansowanie realizacji zleconego zadania z zakresu działalności </w:t>
      </w:r>
      <w:r w:rsidR="00B57DE7">
        <w:rPr>
          <w:rFonts w:eastAsia="Times New Roman"/>
          <w:lang w:eastAsia="en-US" w:bidi="en-US"/>
        </w:rPr>
        <w:t>na rzecz integracji europejskiej oraz rozwijania kontaktów i współpracy miedzy społeczeństwami.</w:t>
      </w:r>
    </w:p>
    <w:p w:rsidR="00931967" w:rsidRDefault="00F425F7" w:rsidP="00F425F7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5. „Postępowaniu” – rozumie się przez to określone w Regulaminie postępowanie w sprawie zlecenia realizacji zadania z zakresu działalności </w:t>
      </w:r>
      <w:r w:rsidR="00B57DE7">
        <w:rPr>
          <w:rFonts w:eastAsia="Times New Roman"/>
          <w:lang w:eastAsia="en-US" w:bidi="en-US"/>
        </w:rPr>
        <w:t>na rzecz integracji europejskiej oraz rozwijania kontaktów                          i współpracy miedzy społeczeństwami.</w:t>
      </w:r>
    </w:p>
    <w:p w:rsidR="00785191" w:rsidRDefault="00F425F7" w:rsidP="00785191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6. „Oferencie” – rozumie się przez to podmiot uprawniony, ubiegający się o zawarcie umowy, który złożył ofertę w postępowaniu w sprawie zlecenia realizacji zadania z zakresu </w:t>
      </w:r>
      <w:r w:rsidR="00785191">
        <w:rPr>
          <w:rFonts w:eastAsia="Times New Roman"/>
          <w:lang w:eastAsia="en-US" w:bidi="en-US"/>
        </w:rPr>
        <w:t>działalności na rzecz integracji europejskiej oraz rozwijania kontaktów i współpracy miedzy społeczeństwami.</w:t>
      </w:r>
    </w:p>
    <w:p w:rsidR="00B57DE7" w:rsidRDefault="00F425F7" w:rsidP="00B57DE7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7. „Umowie” – rozumie się przez to umowę na realizację zadania z zakresu </w:t>
      </w:r>
      <w:r w:rsidR="00B57DE7">
        <w:rPr>
          <w:rFonts w:eastAsia="Times New Roman"/>
          <w:lang w:eastAsia="en-US" w:bidi="en-US"/>
        </w:rPr>
        <w:t>na rzecz integracji europejskiej oraz rozwijania kontaktów  i współpracy miedzy społeczeństwami.</w:t>
      </w:r>
    </w:p>
    <w:p w:rsidR="00F425F7" w:rsidRDefault="00F425F7" w:rsidP="00B57DE7">
      <w:pPr>
        <w:tabs>
          <w:tab w:val="left" w:pos="360"/>
        </w:tabs>
        <w:autoSpaceDE w:val="0"/>
        <w:ind w:hanging="360"/>
        <w:jc w:val="both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F425F7" w:rsidRDefault="00F425F7" w:rsidP="00F425F7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F425F7" w:rsidRDefault="00F425F7" w:rsidP="00F425F7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F425F7" w:rsidRDefault="00F425F7" w:rsidP="00B57DE7">
      <w:pPr>
        <w:jc w:val="both"/>
      </w:pPr>
      <w:r>
        <w:rPr>
          <w:rFonts w:eastAsia="Times New Roman"/>
          <w:lang w:eastAsia="en-US" w:bidi="en-US"/>
        </w:rPr>
        <w:t xml:space="preserve">1. Oferty na realizację zadań z zakresu działalności </w:t>
      </w:r>
      <w:r w:rsidR="00B57DE7">
        <w:rPr>
          <w:rFonts w:eastAsia="Times New Roman"/>
          <w:lang w:eastAsia="en-US" w:bidi="en-US"/>
        </w:rPr>
        <w:t>na rzecz integracji europejskiej oraz rozwijania kontaktów i współpracy miedzy społeczeństwami n</w:t>
      </w:r>
      <w:r>
        <w:rPr>
          <w:rFonts w:eastAsia="Times New Roman"/>
          <w:lang w:eastAsia="en-US" w:bidi="en-US"/>
        </w:rPr>
        <w:t xml:space="preserve">ależy składać w </w:t>
      </w:r>
      <w:r>
        <w:rPr>
          <w:rFonts w:eastAsia="Times New Roman"/>
          <w:b/>
          <w:bCs/>
          <w:lang w:eastAsia="en-US" w:bidi="en-US"/>
        </w:rPr>
        <w:t xml:space="preserve">terminie do dnia …………………….. </w:t>
      </w:r>
      <w:r>
        <w:rPr>
          <w:rFonts w:eastAsia="Times New Roman"/>
          <w:lang w:eastAsia="en-US" w:bidi="en-US"/>
        </w:rPr>
        <w:t>(decyduje data wpływu do Urzędu Miasta Świnoujście),</w:t>
      </w:r>
    </w:p>
    <w:p w:rsidR="00F425F7" w:rsidRDefault="00F425F7" w:rsidP="00F425F7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parter, w godzinach od 7.30 do 15.30.</w:t>
      </w:r>
    </w:p>
    <w:p w:rsidR="00F425F7" w:rsidRDefault="00F425F7" w:rsidP="00F425F7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>
        <w:t xml:space="preserve"> składać na formularzu ofert, 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425F7" w:rsidRDefault="00F425F7" w:rsidP="00F425F7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F425F7" w:rsidRDefault="00F425F7" w:rsidP="00F425F7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 informację o posiadanych zasobach rzeczowych i kadrowych zapewniających wykonanie zadania, w tym wysokości środków finansowych uzyskanych na realizację danego zadania z innych źródeł,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f) deklarację o zamiarze odpłatnego lub nieodpłatnego wykonania zadania.</w:t>
      </w:r>
    </w:p>
    <w:p w:rsidR="00F425F7" w:rsidRDefault="00F425F7" w:rsidP="00F425F7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a) kopię aktualnego odpisu z Krajowego Rejestru Sądowego, innego rejestru lub ewidencji,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b) statut,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 xml:space="preserve">c) </w:t>
      </w:r>
      <w:r w:rsidR="001C324F">
        <w:rPr>
          <w:rFonts w:eastAsia="Times New Roman" w:cs="Tahoma"/>
          <w:color w:val="000000"/>
          <w:kern w:val="0"/>
          <w:lang w:bidi="en-US"/>
        </w:rPr>
        <w:t>upoważnienie</w:t>
      </w:r>
      <w:r>
        <w:rPr>
          <w:rFonts w:eastAsia="Times New Roman" w:cs="Tahoma"/>
          <w:color w:val="000000"/>
          <w:kern w:val="0"/>
          <w:lang w:bidi="en-US"/>
        </w:rPr>
        <w:t xml:space="preserve"> osób reprezentujących oferenta,</w:t>
      </w:r>
    </w:p>
    <w:p w:rsidR="00F425F7" w:rsidRDefault="00F425F7" w:rsidP="00F425F7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</w:t>
      </w:r>
      <w:r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F425F7" w:rsidRDefault="00F425F7" w:rsidP="00F425F7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e) kopię umowy lub statutu spółki potwierdzonej za zgodność z oryginałem w przypadku gdy oferent jest spółką prawa handlowego, o której mowa w art. 3 ust. 3 pkt 4 ustawy z dnia 24 kwietnia 2003 r. o działalności pożytku publicznego i o wolontariacie.</w:t>
      </w:r>
    </w:p>
    <w:p w:rsidR="00F425F7" w:rsidRDefault="00F425F7" w:rsidP="00F425F7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1C324F" w:rsidRDefault="001C324F" w:rsidP="00F425F7">
      <w:pPr>
        <w:autoSpaceDE w:val="0"/>
        <w:jc w:val="center"/>
        <w:rPr>
          <w:rFonts w:eastAsia="Times New Roman"/>
          <w:b/>
          <w:bCs/>
        </w:rPr>
      </w:pPr>
    </w:p>
    <w:p w:rsidR="001C324F" w:rsidRDefault="001C324F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F425F7" w:rsidRDefault="00F425F7" w:rsidP="00F425F7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formalna polega na sprawdzeniu kompletności i prawidłowości oferty.</w:t>
      </w:r>
    </w:p>
    <w:p w:rsidR="00F425F7" w:rsidRDefault="00F425F7" w:rsidP="00F425F7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Oferta jest uznana za kompletną, jeżeli:</w:t>
      </w:r>
    </w:p>
    <w:p w:rsidR="00F425F7" w:rsidRDefault="00F425F7" w:rsidP="00F425F7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dołączone zostały wszystkie wymagane załączniki: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a) kopia aktualnego odpisu z Krajowego Rejestru Sądowego, innego rejestru lub ewidencji,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b) statut,</w:t>
      </w:r>
    </w:p>
    <w:p w:rsidR="00F425F7" w:rsidRDefault="00F425F7" w:rsidP="00F425F7">
      <w:pPr>
        <w:tabs>
          <w:tab w:val="left" w:pos="2880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Times New Roman" w:cs="Tahoma"/>
          <w:color w:val="000000"/>
          <w:kern w:val="0"/>
          <w:lang w:bidi="en-US"/>
        </w:rPr>
        <w:t xml:space="preserve">c) </w:t>
      </w:r>
      <w:r w:rsidR="00920FB4">
        <w:rPr>
          <w:rFonts w:eastAsia="Times New Roman" w:cs="Tahoma"/>
          <w:color w:val="000000"/>
          <w:kern w:val="0"/>
          <w:lang w:bidi="en-US"/>
        </w:rPr>
        <w:t>upowaznienie</w:t>
      </w:r>
      <w:r>
        <w:rPr>
          <w:rFonts w:eastAsia="Times New Roman" w:cs="Tahoma"/>
          <w:color w:val="000000"/>
          <w:kern w:val="0"/>
          <w:lang w:bidi="en-US"/>
        </w:rPr>
        <w:t xml:space="preserve"> osób reprezentujących oferenta,</w:t>
      </w:r>
    </w:p>
    <w:p w:rsidR="00F425F7" w:rsidRDefault="00F425F7" w:rsidP="00F425F7">
      <w:pPr>
        <w:tabs>
          <w:tab w:val="left" w:pos="4992"/>
        </w:tabs>
        <w:autoSpaceDE w:val="0"/>
        <w:ind w:left="284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d)</w:t>
      </w:r>
      <w:r>
        <w:rPr>
          <w:rFonts w:eastAsia="Times New Roman" w:cs="Tahoma"/>
          <w:color w:val="000000"/>
          <w:kern w:val="0"/>
          <w:lang w:bidi="en-US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F425F7" w:rsidRDefault="00F425F7" w:rsidP="00F425F7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e) kopia umowy lub statutu spółki potwierdzonej za zgodność z oryginałem w przypadku gdy oferent jest spółką prawa handlowego, o której mowa w art. 3 ust. 3 pkt 4 ustawy z dnia 24 kwietnia 2003 r. o działalności pożytku publicznego i o wolontariacie;</w:t>
      </w:r>
    </w:p>
    <w:p w:rsidR="00F425F7" w:rsidRDefault="00F425F7" w:rsidP="00F425F7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załączniki spełniają wymogi ważności tzn. są podpisane przez osoby uprawnione;</w:t>
      </w:r>
    </w:p>
    <w:p w:rsidR="00F425F7" w:rsidRDefault="00F425F7" w:rsidP="00F425F7">
      <w:pPr>
        <w:tabs>
          <w:tab w:val="left" w:pos="1440"/>
        </w:tabs>
        <w:autoSpaceDE w:val="0"/>
        <w:ind w:left="142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 wypełnione zostały wszystkie pola oferty.</w:t>
      </w:r>
    </w:p>
    <w:p w:rsidR="00F425F7" w:rsidRDefault="00F425F7" w:rsidP="00F425F7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Oferta uznana jest za prawidłową gdy:</w:t>
      </w:r>
    </w:p>
    <w:p w:rsidR="00F425F7" w:rsidRDefault="00F425F7" w:rsidP="00F425F7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złożona jest na właściwym formularzu,</w:t>
      </w:r>
    </w:p>
    <w:p w:rsidR="00F425F7" w:rsidRDefault="00F425F7" w:rsidP="00F425F7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złożona jest w wymaganym w regulaminie terminie,</w:t>
      </w:r>
    </w:p>
    <w:p w:rsidR="00F425F7" w:rsidRDefault="00F425F7" w:rsidP="00F425F7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podmiot jest uprawniony do złożenia oferty,</w:t>
      </w:r>
    </w:p>
    <w:p w:rsidR="00F425F7" w:rsidRDefault="00F425F7" w:rsidP="00F425F7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 działalność statutowa podmiotu zgadza się z dziedziną zadania publicznego będącego przedmiotem konkursu.</w:t>
      </w:r>
    </w:p>
    <w:p w:rsidR="00F425F7" w:rsidRDefault="00F425F7" w:rsidP="00F425F7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Oferty niekompletne (niespełniające powyższych kryteriów kompletności ofert) lub nieprawidłowe (niespełniające powyższych kryteriów prawidłowości) zostają odrzucone.</w:t>
      </w:r>
    </w:p>
    <w:p w:rsidR="00F425F7" w:rsidRDefault="00F425F7" w:rsidP="00F425F7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Ocena formalna ofert dokonywana jest przez członków Komisji poprzez wypełnienie formularza stanowiącego załącznik nr 1 do regulaminu konkursu.</w:t>
      </w:r>
    </w:p>
    <w:p w:rsidR="00F425F7" w:rsidRDefault="00F425F7" w:rsidP="00F425F7">
      <w:pPr>
        <w:autoSpaceDE w:val="0"/>
        <w:rPr>
          <w:rFonts w:eastAsia="Times New Roman"/>
          <w:lang w:eastAsia="en-US" w:bidi="en-US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F425F7" w:rsidRDefault="00F425F7" w:rsidP="00F425F7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a) </w:t>
      </w:r>
      <w:r w:rsidR="00920FB4">
        <w:rPr>
          <w:rFonts w:eastAsia="Lucida Sans Unicode" w:cs="Tahoma"/>
          <w:color w:val="000000"/>
          <w:kern w:val="0"/>
          <w:lang w:bidi="en-US"/>
        </w:rPr>
        <w:t>zakres rzeczowy</w:t>
      </w:r>
      <w:r>
        <w:rPr>
          <w:rFonts w:eastAsia="Lucida Sans Unicode" w:cs="Tahoma"/>
          <w:color w:val="000000"/>
          <w:kern w:val="0"/>
          <w:lang w:bidi="en-US"/>
        </w:rPr>
        <w:t xml:space="preserve"> realizacji zadania, oferta może uzyskać do 30 punktów, 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kalkulacja kosztów realizacji zadania, w tym w odniesieniu do zakresu rzeczowego zadania do 2</w:t>
      </w:r>
      <w:r w:rsidR="001C324F">
        <w:rPr>
          <w:rFonts w:eastAsia="Lucida Sans Unicode" w:cs="Tahoma"/>
          <w:color w:val="000000"/>
          <w:kern w:val="0"/>
          <w:lang w:bidi="en-US"/>
        </w:rPr>
        <w:t>0</w:t>
      </w:r>
      <w:r>
        <w:rPr>
          <w:rFonts w:eastAsia="Lucida Sans Unicode" w:cs="Tahoma"/>
          <w:color w:val="000000"/>
          <w:kern w:val="0"/>
          <w:lang w:bidi="en-US"/>
        </w:rPr>
        <w:t xml:space="preserve"> punktów, 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jakość wykonania zadania i kwalifikacje osób realizujących zadanie, oferta może uzyskać do 2</w:t>
      </w:r>
      <w:r w:rsidR="001C324F">
        <w:rPr>
          <w:rFonts w:eastAsia="Lucida Sans Unicode" w:cs="Tahoma"/>
          <w:color w:val="000000"/>
          <w:kern w:val="0"/>
          <w:lang w:bidi="en-US"/>
        </w:rPr>
        <w:t>0</w:t>
      </w:r>
      <w:r>
        <w:rPr>
          <w:rFonts w:eastAsia="Lucida Sans Unicode" w:cs="Tahoma"/>
          <w:color w:val="000000"/>
          <w:kern w:val="0"/>
          <w:lang w:bidi="en-US"/>
        </w:rPr>
        <w:t xml:space="preserve"> punktów, 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d) udział środków finansowych własnych albo pozyskanych z innych źródeł na realizację zadania, oferta może uzyskać do </w:t>
      </w:r>
      <w:r w:rsidR="001C324F">
        <w:rPr>
          <w:rFonts w:eastAsia="Lucida Sans Unicode" w:cs="Tahoma"/>
          <w:color w:val="000000"/>
          <w:kern w:val="0"/>
          <w:lang w:bidi="en-US"/>
        </w:rPr>
        <w:t xml:space="preserve">10 </w:t>
      </w:r>
      <w:r>
        <w:rPr>
          <w:rFonts w:eastAsia="Lucida Sans Unicode" w:cs="Tahoma"/>
          <w:color w:val="000000"/>
          <w:kern w:val="0"/>
          <w:lang w:bidi="en-US"/>
        </w:rPr>
        <w:t>punktów,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e) wkład rzeczowy, osobowy, w tym świadczenia wolontariuszy i praca społeczna członków, oferta może uzyskać do 10 punktów,</w:t>
      </w:r>
    </w:p>
    <w:p w:rsidR="00F425F7" w:rsidRDefault="00F425F7" w:rsidP="00F425F7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 xml:space="preserve">f) realizacje zleconych zadań publicznych w przypadku podmiotów uprawnionych, które w latach poprzednich realizowały zlecone zadanie publiczne biorąc pod uwagę rzetelność, terminowość oraz sposób rozliczenia otrzymanych środków, oferta może uzyskać do </w:t>
      </w:r>
      <w:r w:rsidR="001C324F">
        <w:rPr>
          <w:rFonts w:eastAsia="Lucida Sans Unicode" w:cs="Tahoma"/>
          <w:color w:val="000000"/>
          <w:kern w:val="0"/>
          <w:lang w:bidi="en-US"/>
        </w:rPr>
        <w:t xml:space="preserve">10 </w:t>
      </w:r>
      <w:r>
        <w:rPr>
          <w:rFonts w:eastAsia="Lucida Sans Unicode" w:cs="Tahoma"/>
          <w:color w:val="000000"/>
          <w:kern w:val="0"/>
          <w:lang w:bidi="en-US"/>
        </w:rPr>
        <w:t xml:space="preserve">punktów. </w:t>
      </w:r>
    </w:p>
    <w:p w:rsidR="00F425F7" w:rsidRDefault="00F425F7" w:rsidP="00F425F7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 regulaminu.</w:t>
      </w:r>
    </w:p>
    <w:p w:rsidR="00F425F7" w:rsidRDefault="00F425F7" w:rsidP="00F425F7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F425F7" w:rsidRDefault="00F425F7" w:rsidP="00F425F7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F425F7" w:rsidRDefault="00F425F7" w:rsidP="00F425F7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do: aktualizacji opisu poszczególnych działań, harmonogramu, kalkulacji przewidywanych kosztów.</w:t>
      </w:r>
    </w:p>
    <w:p w:rsidR="00F425F7" w:rsidRDefault="00F425F7" w:rsidP="00F425F7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</w:p>
    <w:p w:rsidR="00F425F7" w:rsidRDefault="00F425F7" w:rsidP="00F425F7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F425F7" w:rsidRDefault="00F425F7" w:rsidP="00F425F7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na temat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F425F7" w:rsidRDefault="00F425F7" w:rsidP="00F425F7">
      <w:pPr>
        <w:tabs>
          <w:tab w:val="left" w:pos="555"/>
        </w:tabs>
        <w:autoSpaceDE w:val="0"/>
        <w:ind w:left="15"/>
        <w:jc w:val="both"/>
      </w:pPr>
      <w:r>
        <w:rPr>
          <w:rFonts w:eastAsia="Times New Roman"/>
          <w:lang w:eastAsia="en-US" w:bidi="en-US"/>
        </w:rPr>
        <w:t>2. Ostateczną decyzję o wyborze oferty i wysokości dotacji na realizację zadani</w:t>
      </w:r>
      <w:r w:rsidR="00452D95">
        <w:rPr>
          <w:rFonts w:eastAsia="Times New Roman"/>
          <w:lang w:eastAsia="en-US" w:bidi="en-US"/>
        </w:rPr>
        <w:t>a z zakresu działalności na rzecz integracji europejskiej oraz rozwijania kontaktów i współpracy między społeczeństwami podmioty podejmuje Prezydent Miasta Świnoujście.</w:t>
      </w:r>
    </w:p>
    <w:p w:rsidR="00F425F7" w:rsidRDefault="00F425F7" w:rsidP="00F425F7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Od decyzji Prezydenta Miasta</w:t>
      </w:r>
      <w:r w:rsidR="00452D95">
        <w:rPr>
          <w:rFonts w:eastAsia="Times New Roman"/>
          <w:lang w:eastAsia="en-US" w:bidi="en-US"/>
        </w:rPr>
        <w:t xml:space="preserve"> Świnoujście</w:t>
      </w:r>
      <w:r>
        <w:rPr>
          <w:rFonts w:eastAsia="Times New Roman"/>
          <w:lang w:eastAsia="en-US" w:bidi="en-US"/>
        </w:rPr>
        <w:t xml:space="preserve"> nie przysługuje odwołanie.</w:t>
      </w:r>
    </w:p>
    <w:p w:rsidR="00F425F7" w:rsidRDefault="00F425F7" w:rsidP="00F425F7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 ogłoszeniu Prezydent Miasta</w:t>
      </w:r>
      <w:r w:rsidR="00452D95">
        <w:rPr>
          <w:rFonts w:eastAsia="Times New Roman"/>
          <w:lang w:eastAsia="en-US" w:bidi="en-US"/>
        </w:rPr>
        <w:t xml:space="preserve"> Świnoujście </w:t>
      </w:r>
      <w:r>
        <w:rPr>
          <w:rFonts w:eastAsia="Times New Roman"/>
          <w:lang w:eastAsia="en-US" w:bidi="en-US"/>
        </w:rPr>
        <w:t xml:space="preserve">unieważnia otwarty konkurs ofert. Informację </w:t>
      </w:r>
      <w:r w:rsidR="00452D95">
        <w:rPr>
          <w:rFonts w:eastAsia="Times New Roman"/>
          <w:lang w:eastAsia="en-US" w:bidi="en-US"/>
        </w:rPr>
        <w:t xml:space="preserve">        </w:t>
      </w:r>
      <w:r>
        <w:rPr>
          <w:rFonts w:eastAsia="Times New Roman"/>
          <w:lang w:eastAsia="en-US" w:bidi="en-US"/>
        </w:rPr>
        <w:t xml:space="preserve"> unieważnieniu otwartego konkursu ofert podaje się do publicznej wiadomości w sposób określony</w:t>
      </w:r>
      <w:r w:rsidR="00452D95">
        <w:rPr>
          <w:rFonts w:eastAsia="Times New Roman"/>
          <w:lang w:eastAsia="en-US" w:bidi="en-US"/>
        </w:rPr>
        <w:t xml:space="preserve">                    </w:t>
      </w:r>
      <w:r>
        <w:rPr>
          <w:rFonts w:eastAsia="Times New Roman"/>
          <w:lang w:eastAsia="en-US" w:bidi="en-US"/>
        </w:rPr>
        <w:t xml:space="preserve"> w art.13 ust.3 ustawy.</w:t>
      </w:r>
    </w:p>
    <w:p w:rsidR="00F425F7" w:rsidRDefault="00F425F7" w:rsidP="00F425F7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 może odwołać konkurs w każdym czasie, bez podania przyczyn.</w:t>
      </w:r>
    </w:p>
    <w:p w:rsidR="00F425F7" w:rsidRDefault="00F425F7" w:rsidP="00F425F7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F425F7" w:rsidRDefault="00F425F7" w:rsidP="00F425F7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F425F7" w:rsidRDefault="00F425F7" w:rsidP="00F425F7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F425F7" w:rsidRDefault="00F425F7" w:rsidP="00F425F7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F425F7" w:rsidRDefault="00F425F7" w:rsidP="00F425F7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F425F7" w:rsidRDefault="00F425F7" w:rsidP="00F425F7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F425F7" w:rsidRDefault="00F425F7" w:rsidP="00F425F7">
      <w:pPr>
        <w:ind w:left="284"/>
        <w:rPr>
          <w:lang w:eastAsia="en-US" w:bidi="en-US"/>
        </w:rPr>
      </w:pPr>
      <w:r>
        <w:rPr>
          <w:lang w:eastAsia="en-US" w:bidi="en-US"/>
        </w:rPr>
        <w:t xml:space="preserve">2) w siedzibie organu administracji publicznej w miejscu przeznaczonym na zamieszczanie ogłoszeń, </w:t>
      </w:r>
    </w:p>
    <w:p w:rsidR="00F425F7" w:rsidRDefault="00F425F7" w:rsidP="00F425F7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na stronie internetowej organu administracji publicznej.</w:t>
      </w:r>
    </w:p>
    <w:p w:rsidR="00F425F7" w:rsidRDefault="00F425F7" w:rsidP="00F425F7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nazwę oferenta,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2) nazwę zadania publicznego, </w:t>
      </w:r>
    </w:p>
    <w:p w:rsidR="00F425F7" w:rsidRDefault="00F425F7" w:rsidP="00F425F7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wysokość przyznanych środków publicznych.</w:t>
      </w:r>
    </w:p>
    <w:p w:rsidR="00F425F7" w:rsidRDefault="00F425F7" w:rsidP="00F425F7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9</w:t>
      </w:r>
    </w:p>
    <w:p w:rsidR="00F425F7" w:rsidRDefault="00F425F7" w:rsidP="00F425F7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>
        <w:rPr>
          <w:rFonts w:eastAsia="Times New Roman"/>
          <w:bCs/>
          <w:lang w:eastAsia="en-US" w:bidi="en-US"/>
        </w:rPr>
        <w:t xml:space="preserve"> </w:t>
      </w:r>
      <w:r>
        <w:rPr>
          <w:rFonts w:eastAsia="Lucida Sans Unicode" w:cs="Tahoma"/>
          <w:color w:val="00000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F425F7" w:rsidRDefault="00F425F7" w:rsidP="00F425F7">
      <w:pPr>
        <w:autoSpaceDE w:val="0"/>
        <w:jc w:val="both"/>
        <w:rPr>
          <w:rFonts w:eastAsia="Times New Roman" w:cs="Tahoma"/>
          <w:bCs/>
          <w:color w:val="000000"/>
          <w:lang w:eastAsia="en-US" w:bidi="en-US"/>
        </w:rPr>
      </w:pPr>
    </w:p>
    <w:p w:rsidR="00F425F7" w:rsidRDefault="00F425F7" w:rsidP="00F425F7">
      <w:pPr>
        <w:autoSpaceDE w:val="0"/>
        <w:jc w:val="both"/>
        <w:rPr>
          <w:rFonts w:eastAsia="Times New Roman"/>
          <w:b/>
          <w:lang w:eastAsia="en-US" w:bidi="en-US"/>
        </w:rPr>
      </w:pPr>
    </w:p>
    <w:p w:rsidR="00F425F7" w:rsidRDefault="00F425F7" w:rsidP="00F425F7">
      <w:pPr>
        <w:autoSpaceDE w:val="0"/>
        <w:jc w:val="both"/>
        <w:rPr>
          <w:rFonts w:eastAsia="Times New Roman"/>
          <w:b/>
        </w:rPr>
      </w:pPr>
    </w:p>
    <w:p w:rsidR="00F425F7" w:rsidRDefault="00F425F7" w:rsidP="00F425F7">
      <w:pPr>
        <w:tabs>
          <w:tab w:val="center" w:pos="6946"/>
        </w:tabs>
        <w:autoSpaceDE w:val="0"/>
      </w:pPr>
      <w:r>
        <w:rPr>
          <w:rFonts w:eastAsia="Times New Roman"/>
          <w:b/>
          <w:bCs/>
        </w:rPr>
        <w:tab/>
      </w:r>
      <w:r>
        <w:rPr>
          <w:rFonts w:eastAsia="Times New Roman"/>
          <w:bCs/>
        </w:rPr>
        <w:t>Prezydent Miasta Świnoujście</w:t>
      </w:r>
    </w:p>
    <w:p w:rsidR="00F425F7" w:rsidRDefault="00F425F7" w:rsidP="00F425F7">
      <w:pPr>
        <w:tabs>
          <w:tab w:val="center" w:pos="6946"/>
        </w:tabs>
        <w:autoSpaceDE w:val="0"/>
        <w:rPr>
          <w:rFonts w:eastAsia="Times New Roman"/>
          <w:bCs/>
        </w:rPr>
      </w:pPr>
    </w:p>
    <w:p w:rsidR="00F425F7" w:rsidRDefault="00F425F7" w:rsidP="00F425F7">
      <w:pPr>
        <w:tabs>
          <w:tab w:val="center" w:pos="6946"/>
        </w:tabs>
        <w:autoSpaceDE w:val="0"/>
      </w:pPr>
      <w:r>
        <w:rPr>
          <w:rFonts w:eastAsia="Times New Roman"/>
          <w:bCs/>
        </w:rPr>
        <w:tab/>
        <w:t>Janusz Żmurkiewicz</w:t>
      </w:r>
    </w:p>
    <w:p w:rsidR="00F425F7" w:rsidRDefault="00F425F7" w:rsidP="00F425F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</w:rPr>
      </w:pPr>
    </w:p>
    <w:p w:rsidR="005D69E5" w:rsidRDefault="005D69E5" w:rsidP="00F425F7">
      <w:pPr>
        <w:autoSpaceDE w:val="0"/>
        <w:jc w:val="center"/>
        <w:rPr>
          <w:rFonts w:eastAsia="Times New Roman"/>
          <w:b/>
          <w:bCs/>
        </w:rPr>
      </w:pPr>
    </w:p>
    <w:p w:rsidR="005D69E5" w:rsidRDefault="005D69E5" w:rsidP="00F425F7">
      <w:pPr>
        <w:autoSpaceDE w:val="0"/>
        <w:jc w:val="center"/>
        <w:rPr>
          <w:rFonts w:eastAsia="Times New Roman"/>
          <w:b/>
          <w:bCs/>
        </w:rPr>
      </w:pPr>
    </w:p>
    <w:p w:rsidR="005D69E5" w:rsidRDefault="005D69E5" w:rsidP="00F425F7">
      <w:pPr>
        <w:autoSpaceDE w:val="0"/>
        <w:jc w:val="center"/>
        <w:rPr>
          <w:rFonts w:eastAsia="Times New Roman"/>
          <w:b/>
          <w:bCs/>
        </w:rPr>
      </w:pPr>
    </w:p>
    <w:p w:rsidR="005D69E5" w:rsidRDefault="005D69E5" w:rsidP="00F425F7">
      <w:pPr>
        <w:autoSpaceDE w:val="0"/>
        <w:jc w:val="center"/>
        <w:rPr>
          <w:rFonts w:eastAsia="Times New Roman"/>
          <w:b/>
          <w:bCs/>
        </w:rPr>
      </w:pPr>
    </w:p>
    <w:p w:rsidR="00F425F7" w:rsidRDefault="00F425F7" w:rsidP="00264FEC">
      <w:pPr>
        <w:autoSpaceDE w:val="0"/>
        <w:ind w:left="4248" w:firstLine="708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t xml:space="preserve">Załącznik nr 1 do Regulaminu </w:t>
      </w:r>
    </w:p>
    <w:p w:rsidR="00F425F7" w:rsidRDefault="00F425F7" w:rsidP="00F425F7">
      <w:pPr>
        <w:autoSpaceDE w:val="0"/>
        <w:jc w:val="center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F425F7" w:rsidRDefault="00F425F7" w:rsidP="00F425F7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F425F7" w:rsidRPr="00B57DE7" w:rsidRDefault="00F425F7" w:rsidP="00B57DE7">
      <w:pPr>
        <w:jc w:val="both"/>
        <w:rPr>
          <w:rFonts w:eastAsia="Times New Roman"/>
          <w:lang w:eastAsia="en-US" w:bidi="en-US"/>
        </w:rPr>
      </w:pPr>
      <w:r w:rsidRPr="00B57DE7">
        <w:rPr>
          <w:rFonts w:eastAsia="Times New Roman"/>
          <w:bCs/>
          <w:lang w:eastAsia="en-US" w:bidi="en-US"/>
        </w:rPr>
        <w:t xml:space="preserve">na realizację zadania z zakresu </w:t>
      </w:r>
      <w:r w:rsidR="00B57DE7" w:rsidRPr="00B57DE7">
        <w:rPr>
          <w:rFonts w:eastAsia="Times New Roman"/>
          <w:bCs/>
          <w:lang w:eastAsia="en-US" w:bidi="en-US"/>
        </w:rPr>
        <w:t xml:space="preserve">działalności na rzecz </w:t>
      </w:r>
      <w:r w:rsidR="00B57DE7" w:rsidRPr="00B57DE7">
        <w:rPr>
          <w:rFonts w:eastAsia="Times New Roman"/>
          <w:lang w:eastAsia="en-US" w:bidi="en-US"/>
        </w:rPr>
        <w:t xml:space="preserve">integracji europejskiej oraz rozwijania kontaktów i współpracy </w:t>
      </w:r>
      <w:r w:rsidR="00B57DE7">
        <w:rPr>
          <w:rFonts w:eastAsia="Times New Roman"/>
          <w:lang w:eastAsia="en-US" w:bidi="en-US"/>
        </w:rPr>
        <w:t>miedzy społeczeństwami,</w:t>
      </w:r>
      <w:r w:rsidRPr="00B57DE7">
        <w:rPr>
          <w:rFonts w:eastAsia="Times New Roman"/>
          <w:lang w:eastAsia="en-US" w:bidi="en-US"/>
        </w:rPr>
        <w:t xml:space="preserve"> pn. </w:t>
      </w:r>
      <w:r w:rsidR="00B57DE7">
        <w:rPr>
          <w:rFonts w:eastAsia="Times New Roman"/>
          <w:lang w:eastAsia="en-US" w:bidi="en-US"/>
        </w:rPr>
        <w:t>„</w:t>
      </w:r>
      <w:r w:rsidR="00B57DE7" w:rsidRPr="00B57DE7">
        <w:rPr>
          <w:rFonts w:eastAsia="Times New Roman"/>
          <w:lang w:eastAsia="en-US" w:bidi="en-US"/>
        </w:rPr>
        <w:t>Inicjowanie, rozwój i wzbogacanie form współpracy miedzy społeczeństwami polskim i niemieckim”</w:t>
      </w:r>
      <w:r w:rsidR="00B57DE7">
        <w:rPr>
          <w:rFonts w:eastAsia="Times New Roman"/>
          <w:lang w:eastAsia="en-US" w:bidi="en-US"/>
        </w:rPr>
        <w:t>.</w:t>
      </w:r>
    </w:p>
    <w:p w:rsidR="00F425F7" w:rsidRDefault="00F425F7" w:rsidP="00F425F7">
      <w:pPr>
        <w:autoSpaceDE w:val="0"/>
        <w:jc w:val="both"/>
        <w:rPr>
          <w:rFonts w:eastAsia="Times New Roman"/>
          <w:szCs w:val="20"/>
          <w:lang w:eastAsia="ar-SA"/>
        </w:rPr>
      </w:pPr>
    </w:p>
    <w:tbl>
      <w:tblPr>
        <w:tblW w:w="91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381"/>
        <w:gridCol w:w="1096"/>
        <w:gridCol w:w="1376"/>
      </w:tblGrid>
      <w:tr w:rsidR="00F425F7" w:rsidTr="00F425F7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F425F7" w:rsidRDefault="00F425F7">
            <w:pPr>
              <w:autoSpaceDE w:val="0"/>
              <w:rPr>
                <w:rFonts w:eastAsia="Times New Roman"/>
                <w:b/>
                <w:bCs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F425F7" w:rsidRDefault="00F425F7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F425F7" w:rsidTr="00F425F7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TAK (T)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NIE (N)</w:t>
            </w:r>
          </w:p>
        </w:tc>
      </w:tr>
      <w:tr w:rsidR="00F425F7" w:rsidTr="00F425F7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  <w:lang w:eastAsia="en-US" w:bidi="en-US"/>
              </w:rPr>
              <w:t>Czy do oferty dołączone są wymagane załączniki?</w:t>
            </w:r>
          </w:p>
          <w:p w:rsidR="00F425F7" w:rsidRDefault="00F425F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a) kopię aktualnego odpisu z Krajowego Rejestru Sądowego, innego rejestru lub ewidencji,</w:t>
            </w:r>
            <w:r>
              <w:rPr>
                <w:rFonts w:eastAsia="Times New Roman"/>
                <w:sz w:val="22"/>
                <w:szCs w:val="22"/>
                <w:lang w:eastAsia="en-US" w:bidi="en-US"/>
              </w:rPr>
              <w:t xml:space="preserve"> o ile nie są one dostępne w internetowej wyszukiwarce Podmiotów.</w:t>
            </w:r>
          </w:p>
          <w:p w:rsidR="00F425F7" w:rsidRDefault="00F425F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b) statut,</w:t>
            </w:r>
          </w:p>
          <w:p w:rsidR="00F425F7" w:rsidRDefault="00F425F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c) umocowanie osób reprezentujących oferenta,</w:t>
            </w:r>
          </w:p>
          <w:p w:rsidR="00F425F7" w:rsidRDefault="00F425F7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Lucida Sans Unicode" w:cs="Tahoma"/>
                <w:color w:val="000000"/>
                <w:kern w:val="0"/>
                <w:sz w:val="22"/>
                <w:szCs w:val="22"/>
                <w:lang w:bidi="en-US"/>
              </w:rPr>
              <w:t>d) </w:t>
            </w: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      </w:r>
          </w:p>
          <w:p w:rsidR="00F425F7" w:rsidRDefault="00F425F7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e) kopię umowy lub statutu spółki potwierdzonej za zgodność z oryginałem w przypadku gdy oferent jest spółką prawa handlowego, o której mowa w art. 3 ust. 3 pkt 4 ustawy z dnia 24 kwietnia 2003 r. o działalności pożytku publicznego i o wolontariacie</w:t>
            </w:r>
          </w:p>
          <w:p w:rsidR="00F425F7" w:rsidRDefault="00F425F7">
            <w:pPr>
              <w:autoSpaceDE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  <w:tr w:rsidR="00F425F7" w:rsidTr="00F425F7"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lang w:bidi="hi-IN"/>
              </w:rPr>
            </w:pPr>
          </w:p>
        </w:tc>
      </w:tr>
    </w:tbl>
    <w:p w:rsidR="00F425F7" w:rsidRDefault="00F425F7" w:rsidP="00F425F7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F425F7" w:rsidRDefault="00F425F7" w:rsidP="00F425F7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F425F7" w:rsidRDefault="00F425F7" w:rsidP="00F425F7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b/>
          <w:bCs/>
          <w:sz w:val="22"/>
          <w:szCs w:val="22"/>
        </w:rPr>
      </w:pP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b/>
          <w:bCs/>
          <w:sz w:val="22"/>
          <w:szCs w:val="22"/>
        </w:rPr>
      </w:pP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4.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</w:p>
    <w:p w:rsidR="00F425F7" w:rsidRDefault="00F425F7" w:rsidP="00F425F7">
      <w:pPr>
        <w:tabs>
          <w:tab w:val="left" w:pos="5760"/>
        </w:tabs>
        <w:autoSpaceDE w:val="0"/>
        <w:rPr>
          <w:rFonts w:eastAsia="Times New Roman"/>
          <w:b/>
          <w:bCs/>
          <w:sz w:val="22"/>
          <w:szCs w:val="22"/>
        </w:rPr>
      </w:pPr>
    </w:p>
    <w:p w:rsidR="00F425F7" w:rsidRDefault="00F425F7" w:rsidP="00F425F7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F425F7" w:rsidRDefault="00F425F7" w:rsidP="00F425F7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F425F7" w:rsidRDefault="00F425F7" w:rsidP="00F425F7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F425F7" w:rsidRDefault="00F425F7" w:rsidP="00F425F7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264FEC">
        <w:rPr>
          <w:rFonts w:eastAsia="Times New Roman" w:cs="Times New Roman"/>
          <w:sz w:val="20"/>
          <w:szCs w:val="20"/>
          <w:lang w:val="pl-PL"/>
        </w:rPr>
        <w:tab/>
      </w:r>
      <w:r w:rsidR="00264FEC">
        <w:rPr>
          <w:rFonts w:eastAsia="Times New Roman" w:cs="Times New Roman"/>
          <w:sz w:val="20"/>
          <w:szCs w:val="20"/>
          <w:lang w:val="pl-PL"/>
        </w:rPr>
        <w:tab/>
      </w:r>
      <w:r w:rsidR="00264FEC">
        <w:rPr>
          <w:rFonts w:eastAsia="Times New Roman" w:cs="Times New Roman"/>
          <w:sz w:val="20"/>
          <w:szCs w:val="20"/>
          <w:lang w:val="pl-PL"/>
        </w:rPr>
        <w:tab/>
      </w:r>
      <w:r w:rsidR="00264FEC"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>Załącznik nr 2 do Regulaminu</w:t>
      </w:r>
    </w:p>
    <w:p w:rsidR="00F425F7" w:rsidRDefault="00F425F7" w:rsidP="00F425F7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F425F7" w:rsidRDefault="00F425F7" w:rsidP="00F425F7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B57DE7" w:rsidRPr="00B57DE7" w:rsidRDefault="00B57DE7" w:rsidP="00B57DE7">
      <w:pPr>
        <w:jc w:val="both"/>
        <w:rPr>
          <w:rFonts w:eastAsia="Times New Roman"/>
          <w:lang w:eastAsia="en-US" w:bidi="en-US"/>
        </w:rPr>
      </w:pPr>
      <w:r w:rsidRPr="00B57DE7">
        <w:rPr>
          <w:rFonts w:eastAsia="Times New Roman"/>
          <w:bCs/>
          <w:lang w:eastAsia="en-US" w:bidi="en-US"/>
        </w:rPr>
        <w:t xml:space="preserve">na realizację zadania z zakresu działalności na rzecz </w:t>
      </w:r>
      <w:r w:rsidRPr="00B57DE7">
        <w:rPr>
          <w:rFonts w:eastAsia="Times New Roman"/>
          <w:lang w:eastAsia="en-US" w:bidi="en-US"/>
        </w:rPr>
        <w:t xml:space="preserve">integracji europejskiej oraz rozwijania kontaktów i współpracy </w:t>
      </w:r>
      <w:r>
        <w:rPr>
          <w:rFonts w:eastAsia="Times New Roman"/>
          <w:lang w:eastAsia="en-US" w:bidi="en-US"/>
        </w:rPr>
        <w:t>miedzy społeczeństwami,</w:t>
      </w:r>
      <w:r w:rsidRPr="00B57DE7">
        <w:rPr>
          <w:rFonts w:eastAsia="Times New Roman"/>
          <w:lang w:eastAsia="en-US" w:bidi="en-US"/>
        </w:rPr>
        <w:t xml:space="preserve"> pn. </w:t>
      </w:r>
      <w:r>
        <w:rPr>
          <w:rFonts w:eastAsia="Times New Roman"/>
          <w:lang w:eastAsia="en-US" w:bidi="en-US"/>
        </w:rPr>
        <w:t>„</w:t>
      </w:r>
      <w:r w:rsidRPr="00B57DE7">
        <w:rPr>
          <w:rFonts w:eastAsia="Times New Roman"/>
          <w:lang w:eastAsia="en-US" w:bidi="en-US"/>
        </w:rPr>
        <w:t xml:space="preserve">Inicjowanie, rozwój i wzbogacanie form współpracy miedzy </w:t>
      </w:r>
      <w:r w:rsidR="00F50BB8" w:rsidRPr="00B57DE7">
        <w:rPr>
          <w:rFonts w:eastAsia="Times New Roman"/>
          <w:lang w:eastAsia="en-US" w:bidi="en-US"/>
        </w:rPr>
        <w:t>społeczeńst</w:t>
      </w:r>
      <w:r w:rsidR="00F50BB8">
        <w:rPr>
          <w:rFonts w:eastAsia="Times New Roman"/>
          <w:lang w:eastAsia="en-US" w:bidi="en-US"/>
        </w:rPr>
        <w:t>wami</w:t>
      </w:r>
      <w:r w:rsidR="00920FB4">
        <w:rPr>
          <w:rFonts w:eastAsia="Times New Roman"/>
          <w:lang w:eastAsia="en-US" w:bidi="en-US"/>
        </w:rPr>
        <w:t xml:space="preserve"> polskim </w:t>
      </w:r>
      <w:r w:rsidRPr="00B57DE7">
        <w:rPr>
          <w:rFonts w:eastAsia="Times New Roman"/>
          <w:lang w:eastAsia="en-US" w:bidi="en-US"/>
        </w:rPr>
        <w:t>i niemieckim”</w:t>
      </w:r>
      <w:r>
        <w:rPr>
          <w:rFonts w:eastAsia="Times New Roman"/>
          <w:lang w:eastAsia="en-US" w:bidi="en-US"/>
        </w:rPr>
        <w:t>.</w:t>
      </w:r>
    </w:p>
    <w:p w:rsidR="00F425F7" w:rsidRDefault="00F425F7" w:rsidP="00B57DE7">
      <w:pPr>
        <w:autoSpaceDE w:val="0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F425F7" w:rsidRDefault="00F425F7">
            <w:pPr>
              <w:autoSpaceDE w:val="0"/>
              <w:rPr>
                <w:rFonts w:eastAsia="Times New Roman"/>
                <w:b/>
                <w:bCs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5F7" w:rsidRDefault="00F425F7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lang w:bidi="hi-IN"/>
              </w:rPr>
            </w:pPr>
            <w:r>
              <w:rPr>
                <w:rFonts w:eastAsia="Times New Roman"/>
                <w:lang w:eastAsia="en-US" w:bidi="en-US"/>
              </w:rPr>
              <w:t>1)</w:t>
            </w:r>
            <w:r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B57DE7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zakres rzeczowy </w:t>
            </w:r>
            <w:r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realizacji zadania </w:t>
            </w:r>
          </w:p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>do 30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 w:rsidP="00B57DE7">
            <w:pPr>
              <w:autoSpaceDE w:val="0"/>
              <w:snapToGrid w:val="0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>do 2</w:t>
            </w:r>
            <w:r w:rsidR="00B57DE7">
              <w:rPr>
                <w:rFonts w:eastAsia="Times New Roman"/>
                <w:lang w:bidi="hi-IN"/>
              </w:rPr>
              <w:t>0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3) jakość wykonania zadania i kwalifikacje osób realizujących zadanie</w:t>
            </w:r>
          </w:p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 w:rsidP="00B57DE7">
            <w:pPr>
              <w:autoSpaceDE w:val="0"/>
              <w:snapToGrid w:val="0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>do 2</w:t>
            </w:r>
            <w:r w:rsidR="00B57DE7">
              <w:rPr>
                <w:rFonts w:eastAsia="Times New Roman"/>
                <w:lang w:bidi="hi-IN"/>
              </w:rPr>
              <w:t>0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4) udział środków finansowych własnych albo pozyskanych z innych źródeł na realizację zadania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B57DE7" w:rsidP="00B57DE7">
            <w:pPr>
              <w:autoSpaceDE w:val="0"/>
              <w:snapToGrid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do 10</w:t>
            </w:r>
            <w:r w:rsidR="00F425F7"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5) wkład rzeczowy, osobowy, w tym świadczenia wolontariuszy i praca społeczna członków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lang w:bidi="hi-IN"/>
              </w:rPr>
            </w:pPr>
            <w:r>
              <w:rPr>
                <w:rFonts w:eastAsia="Times New Roman"/>
                <w:lang w:bidi="hi-IN"/>
              </w:rPr>
              <w:t>do 10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6) realizacje zleconych zadań publicznych w przypadku podmiotów uprawnionych, które w latach poprzednich realizowały zlecone zadanie publiczne biorąc pod uwagę rzetelność, terminowość oraz sposób rozliczenia otrzymanych środków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 w:rsidP="00B57DE7">
            <w:pPr>
              <w:autoSpaceDE w:val="0"/>
              <w:snapToGrid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 xml:space="preserve">do </w:t>
            </w:r>
            <w:r w:rsidR="00B57DE7">
              <w:rPr>
                <w:rFonts w:eastAsia="Times New Roman"/>
                <w:lang w:bidi="hi-IN"/>
              </w:rPr>
              <w:t>10</w:t>
            </w:r>
            <w:r>
              <w:rPr>
                <w:rFonts w:eastAsia="Times New Roman"/>
                <w:lang w:bidi="hi-IN"/>
              </w:rPr>
              <w:t xml:space="preserve"> pkt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F425F7" w:rsidRDefault="00F425F7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bidi="hi-IN"/>
              </w:rPr>
            </w:pPr>
          </w:p>
          <w:p w:rsidR="00F425F7" w:rsidRDefault="00F425F7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F425F7" w:rsidRDefault="00F425F7" w:rsidP="00F425F7">
      <w:pPr>
        <w:autoSpaceDE w:val="0"/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lang w:eastAsia="en-US" w:bidi="en-US"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B57DE7" w:rsidRDefault="00B57DE7" w:rsidP="00F425F7">
      <w:pPr>
        <w:autoSpaceDE w:val="0"/>
        <w:rPr>
          <w:rFonts w:eastAsia="Times New Roman"/>
        </w:rPr>
      </w:pPr>
    </w:p>
    <w:p w:rsidR="00B57DE7" w:rsidRDefault="00B57DE7" w:rsidP="00F425F7">
      <w:pPr>
        <w:autoSpaceDE w:val="0"/>
        <w:rPr>
          <w:rFonts w:eastAsia="Times New Roman"/>
        </w:rPr>
      </w:pPr>
    </w:p>
    <w:p w:rsidR="00B57DE7" w:rsidRDefault="00B57DE7" w:rsidP="00F425F7">
      <w:pPr>
        <w:autoSpaceDE w:val="0"/>
        <w:rPr>
          <w:rFonts w:eastAsia="Times New Roman"/>
        </w:rPr>
      </w:pPr>
    </w:p>
    <w:p w:rsidR="00B57DE7" w:rsidRDefault="00B57DE7" w:rsidP="00F425F7">
      <w:pPr>
        <w:autoSpaceDE w:val="0"/>
        <w:rPr>
          <w:rFonts w:eastAsia="Times New Roman"/>
        </w:rPr>
      </w:pPr>
    </w:p>
    <w:p w:rsidR="00B57DE7" w:rsidRDefault="00B57DE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autoSpaceDE w:val="0"/>
        <w:rPr>
          <w:rFonts w:eastAsia="Times New Roman"/>
        </w:rPr>
      </w:pPr>
    </w:p>
    <w:p w:rsidR="00F425F7" w:rsidRDefault="00F425F7" w:rsidP="00F425F7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 xml:space="preserve">Załącznik nr 3 do Regulaminu </w:t>
      </w:r>
    </w:p>
    <w:p w:rsidR="00F425F7" w:rsidRDefault="00F425F7" w:rsidP="00F425F7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F425F7" w:rsidRDefault="00F425F7" w:rsidP="00F425F7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B57DE7" w:rsidRDefault="00B57DE7" w:rsidP="00B57DE7">
      <w:pPr>
        <w:jc w:val="both"/>
        <w:rPr>
          <w:rFonts w:eastAsia="Times New Roman"/>
          <w:b/>
          <w:bCs/>
          <w:sz w:val="28"/>
          <w:szCs w:val="28"/>
        </w:rPr>
      </w:pPr>
      <w:r w:rsidRPr="00B57DE7">
        <w:rPr>
          <w:rFonts w:eastAsia="Times New Roman"/>
          <w:bCs/>
          <w:lang w:eastAsia="en-US" w:bidi="en-US"/>
        </w:rPr>
        <w:t xml:space="preserve">na realizację zadania z zakresu działalności na rzecz </w:t>
      </w:r>
      <w:r w:rsidRPr="00B57DE7">
        <w:rPr>
          <w:rFonts w:eastAsia="Times New Roman"/>
          <w:lang w:eastAsia="en-US" w:bidi="en-US"/>
        </w:rPr>
        <w:t xml:space="preserve">integracji europejskiej oraz rozwijania kontaktów i współpracy </w:t>
      </w:r>
      <w:r>
        <w:rPr>
          <w:rFonts w:eastAsia="Times New Roman"/>
          <w:lang w:eastAsia="en-US" w:bidi="en-US"/>
        </w:rPr>
        <w:t>miedzy społeczeństwami,</w:t>
      </w:r>
      <w:r w:rsidRPr="00B57DE7">
        <w:rPr>
          <w:rFonts w:eastAsia="Times New Roman"/>
          <w:lang w:eastAsia="en-US" w:bidi="en-US"/>
        </w:rPr>
        <w:t xml:space="preserve"> pn. </w:t>
      </w:r>
      <w:r>
        <w:rPr>
          <w:rFonts w:eastAsia="Times New Roman"/>
          <w:lang w:eastAsia="en-US" w:bidi="en-US"/>
        </w:rPr>
        <w:t>„</w:t>
      </w:r>
      <w:r w:rsidRPr="00B57DE7">
        <w:rPr>
          <w:rFonts w:eastAsia="Times New Roman"/>
          <w:lang w:eastAsia="en-US" w:bidi="en-US"/>
        </w:rPr>
        <w:t>Inicjowanie, rozwój i wzbogacanie form współpracy</w:t>
      </w:r>
      <w:r w:rsidR="00F50BB8">
        <w:rPr>
          <w:rFonts w:eastAsia="Times New Roman"/>
          <w:lang w:eastAsia="en-US" w:bidi="en-US"/>
        </w:rPr>
        <w:t xml:space="preserve"> miedzy społeczeństwami polskim</w:t>
      </w:r>
      <w:r w:rsidRPr="00B57DE7">
        <w:rPr>
          <w:rFonts w:eastAsia="Times New Roman"/>
          <w:lang w:eastAsia="en-US" w:bidi="en-US"/>
        </w:rPr>
        <w:t xml:space="preserve"> i niemieckim”</w:t>
      </w:r>
      <w:r>
        <w:rPr>
          <w:rFonts w:eastAsia="Times New Roman"/>
          <w:lang w:eastAsia="en-US" w:bidi="en-US"/>
        </w:rPr>
        <w:t>.</w:t>
      </w:r>
    </w:p>
    <w:p w:rsidR="00F425F7" w:rsidRDefault="00F425F7" w:rsidP="00F425F7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201"/>
      </w:tblGrid>
      <w:tr w:rsidR="00F425F7" w:rsidTr="00F425F7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bidi="hi-IN"/>
              </w:rPr>
            </w:pPr>
            <w:r>
              <w:rPr>
                <w:rFonts w:eastAsia="Times New Roman"/>
                <w:b/>
                <w:bCs/>
                <w:lang w:bidi="hi-IN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F425F7" w:rsidRDefault="00F425F7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F425F7" w:rsidTr="00F425F7">
        <w:trPr>
          <w:trHeight w:val="24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bidi="hi-IN"/>
              </w:rPr>
              <w:t>nr 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5F7" w:rsidRDefault="00F425F7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F425F7" w:rsidRDefault="00F425F7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 6</w:t>
            </w: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1.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2.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3.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4.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  <w:r>
              <w:rPr>
                <w:rFonts w:eastAsia="Times New Roman"/>
                <w:lang w:bidi="hi-IN"/>
              </w:rPr>
              <w:t>5.</w:t>
            </w:r>
          </w:p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  <w:tr w:rsidR="00F425F7" w:rsidTr="00F425F7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  <w:p w:rsidR="00F425F7" w:rsidRDefault="00F425F7">
            <w:pPr>
              <w:autoSpaceDE w:val="0"/>
              <w:rPr>
                <w:rFonts w:eastAsia="Times New Roman"/>
                <w:lang w:bidi="hi-I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5F7" w:rsidRDefault="00F425F7">
            <w:pPr>
              <w:autoSpaceDE w:val="0"/>
              <w:snapToGrid w:val="0"/>
              <w:rPr>
                <w:rFonts w:eastAsia="Times New Roman"/>
                <w:lang w:bidi="hi-IN"/>
              </w:rPr>
            </w:pPr>
          </w:p>
        </w:tc>
      </w:tr>
    </w:tbl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F425F7" w:rsidRDefault="00F425F7" w:rsidP="00F425F7">
      <w:pPr>
        <w:autoSpaceDE w:val="0"/>
        <w:rPr>
          <w:rFonts w:eastAsia="Times New Roman"/>
          <w:b/>
          <w:bCs/>
          <w:lang w:eastAsia="en-US" w:bidi="en-US"/>
        </w:rPr>
      </w:pPr>
    </w:p>
    <w:p w:rsidR="00F425F7" w:rsidRDefault="00F425F7" w:rsidP="00F425F7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F425F7" w:rsidRDefault="00F425F7" w:rsidP="00F425F7">
      <w:pPr>
        <w:autoSpaceDE w:val="0"/>
        <w:ind w:left="2520"/>
        <w:rPr>
          <w:rFonts w:eastAsia="Times New Roman"/>
          <w:b/>
          <w:bCs/>
        </w:rPr>
      </w:pPr>
    </w:p>
    <w:p w:rsidR="00F425F7" w:rsidRDefault="00F425F7" w:rsidP="00F425F7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3.   ........................................................................</w:t>
      </w:r>
    </w:p>
    <w:p w:rsidR="00F425F7" w:rsidRDefault="00F425F7" w:rsidP="00F425F7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4.   ………………………………………………</w:t>
      </w:r>
    </w:p>
    <w:p w:rsidR="00F425F7" w:rsidRDefault="00F425F7" w:rsidP="00F425F7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F425F7" w:rsidRDefault="00F425F7" w:rsidP="00F425F7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5.   …………………………………………………..</w:t>
      </w:r>
    </w:p>
    <w:p w:rsidR="00F425F7" w:rsidRDefault="00F425F7" w:rsidP="00F425F7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F425F7" w:rsidRDefault="00F425F7" w:rsidP="00F425F7">
      <w:pPr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  <w:b/>
          <w:bCs/>
        </w:rPr>
      </w:pPr>
    </w:p>
    <w:p w:rsidR="00F425F7" w:rsidRDefault="00F425F7" w:rsidP="00F425F7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p w:rsidR="001C4543" w:rsidRDefault="001C4543"/>
    <w:sectPr w:rsidR="001C4543" w:rsidSect="00DE26D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7"/>
    <w:rsid w:val="00113B3C"/>
    <w:rsid w:val="001C324F"/>
    <w:rsid w:val="001C4543"/>
    <w:rsid w:val="00225C79"/>
    <w:rsid w:val="00264FEC"/>
    <w:rsid w:val="0029503E"/>
    <w:rsid w:val="002C166E"/>
    <w:rsid w:val="00335650"/>
    <w:rsid w:val="00357EBB"/>
    <w:rsid w:val="00386166"/>
    <w:rsid w:val="00452D95"/>
    <w:rsid w:val="004C4926"/>
    <w:rsid w:val="005747DC"/>
    <w:rsid w:val="005D69E5"/>
    <w:rsid w:val="00785191"/>
    <w:rsid w:val="00920FB4"/>
    <w:rsid w:val="00931967"/>
    <w:rsid w:val="009345DB"/>
    <w:rsid w:val="00B57DE7"/>
    <w:rsid w:val="00BC633A"/>
    <w:rsid w:val="00BE118B"/>
    <w:rsid w:val="00CA5F80"/>
    <w:rsid w:val="00D01D38"/>
    <w:rsid w:val="00DE26DA"/>
    <w:rsid w:val="00E30D5E"/>
    <w:rsid w:val="00EB7703"/>
    <w:rsid w:val="00F235F5"/>
    <w:rsid w:val="00F425F7"/>
    <w:rsid w:val="00F50BB8"/>
    <w:rsid w:val="00FC714F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9D48"/>
  <w15:chartTrackingRefBased/>
  <w15:docId w15:val="{89F0F7D4-4B5E-4DF6-B27A-40FDDDB0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F7"/>
    <w:pPr>
      <w:widowControl w:val="0"/>
      <w:suppressAutoHyphens/>
      <w:spacing w:after="0" w:line="240" w:lineRule="auto"/>
    </w:pPr>
    <w:rPr>
      <w:rFonts w:ascii="Times New Roman" w:eastAsia="Andale Sans UI;Times New Roman" w:hAnsi="Times New Roman" w:cs="Times New Roman"/>
      <w:kern w:val="2"/>
      <w:sz w:val="24"/>
      <w:szCs w:val="24"/>
      <w:lang w:eastAsia="zh-CN"/>
    </w:rPr>
  </w:style>
  <w:style w:type="paragraph" w:styleId="Nagwek3">
    <w:name w:val="heading 3"/>
    <w:next w:val="Normalny"/>
    <w:link w:val="Nagwek3Znak"/>
    <w:semiHidden/>
    <w:unhideWhenUsed/>
    <w:qFormat/>
    <w:rsid w:val="00F425F7"/>
    <w:pPr>
      <w:widowControl w:val="0"/>
      <w:suppressAutoHyphens/>
      <w:autoSpaceDE w:val="0"/>
      <w:spacing w:after="0" w:line="240" w:lineRule="auto"/>
      <w:outlineLvl w:val="2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4">
    <w:name w:val="heading 4"/>
    <w:next w:val="Normalny"/>
    <w:link w:val="Nagwek4Znak"/>
    <w:semiHidden/>
    <w:unhideWhenUsed/>
    <w:qFormat/>
    <w:rsid w:val="00F425F7"/>
    <w:pPr>
      <w:widowControl w:val="0"/>
      <w:suppressAutoHyphens/>
      <w:autoSpaceDE w:val="0"/>
      <w:spacing w:after="0" w:line="240" w:lineRule="auto"/>
      <w:outlineLvl w:val="3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8">
    <w:name w:val="heading 8"/>
    <w:next w:val="Normalny"/>
    <w:link w:val="Nagwek8Znak"/>
    <w:semiHidden/>
    <w:unhideWhenUsed/>
    <w:qFormat/>
    <w:rsid w:val="00F425F7"/>
    <w:pPr>
      <w:widowControl w:val="0"/>
      <w:suppressAutoHyphens/>
      <w:autoSpaceDE w:val="0"/>
      <w:spacing w:after="0" w:line="240" w:lineRule="auto"/>
      <w:outlineLvl w:val="7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Nagwek9">
    <w:name w:val="heading 9"/>
    <w:next w:val="Normalny"/>
    <w:link w:val="Nagwek9Znak"/>
    <w:semiHidden/>
    <w:unhideWhenUsed/>
    <w:qFormat/>
    <w:rsid w:val="00F425F7"/>
    <w:pPr>
      <w:widowControl w:val="0"/>
      <w:suppressAutoHyphens/>
      <w:autoSpaceDE w:val="0"/>
      <w:spacing w:after="0" w:line="240" w:lineRule="auto"/>
      <w:outlineLvl w:val="8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425F7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4Znak">
    <w:name w:val="Nagłówek 4 Znak"/>
    <w:basedOn w:val="Domylnaczcionkaakapitu"/>
    <w:link w:val="Nagwek4"/>
    <w:semiHidden/>
    <w:rsid w:val="00F425F7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8Znak">
    <w:name w:val="Nagłówek 8 Znak"/>
    <w:basedOn w:val="Domylnaczcionkaakapitu"/>
    <w:link w:val="Nagwek8"/>
    <w:semiHidden/>
    <w:rsid w:val="00F425F7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9Znak">
    <w:name w:val="Nagłówek 9 Znak"/>
    <w:basedOn w:val="Domylnaczcionkaakapitu"/>
    <w:link w:val="Nagwek9"/>
    <w:semiHidden/>
    <w:rsid w:val="00F425F7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F425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9E5"/>
    <w:rPr>
      <w:rFonts w:ascii="Segoe UI" w:eastAsia="Andale Sans UI;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2364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akarczewicz</cp:lastModifiedBy>
  <cp:revision>27</cp:revision>
  <cp:lastPrinted>2020-03-02T10:01:00Z</cp:lastPrinted>
  <dcterms:created xsi:type="dcterms:W3CDTF">2020-02-17T13:29:00Z</dcterms:created>
  <dcterms:modified xsi:type="dcterms:W3CDTF">2020-03-27T11:49:00Z</dcterms:modified>
</cp:coreProperties>
</file>