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D55465">
        <w:rPr>
          <w:color w:val="000000"/>
          <w:sz w:val="24"/>
          <w:lang w:eastAsia="en-US" w:bidi="en-US"/>
        </w:rPr>
        <w:t>166</w:t>
      </w:r>
      <w:r w:rsidR="00513781">
        <w:rPr>
          <w:color w:val="000000"/>
          <w:sz w:val="24"/>
          <w:lang w:eastAsia="en-US" w:bidi="en-US"/>
        </w:rPr>
        <w:t xml:space="preserve"> </w:t>
      </w:r>
      <w:r w:rsidR="004C5F13" w:rsidRPr="002A469C">
        <w:rPr>
          <w:color w:val="000000"/>
          <w:sz w:val="24"/>
          <w:lang w:eastAsia="en-US" w:bidi="en-US"/>
        </w:rPr>
        <w:t>/20</w:t>
      </w:r>
      <w:r w:rsidR="00C37761">
        <w:rPr>
          <w:color w:val="000000"/>
          <w:sz w:val="24"/>
          <w:lang w:eastAsia="en-US" w:bidi="en-US"/>
        </w:rPr>
        <w:t>20</w:t>
      </w:r>
      <w:r w:rsidR="004C5F13"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4C5F13" w:rsidRPr="00513781"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E52346">
        <w:rPr>
          <w:color w:val="000000"/>
          <w:sz w:val="24"/>
          <w:lang w:eastAsia="en-US" w:bidi="en-US"/>
        </w:rPr>
        <w:t xml:space="preserve"> </w:t>
      </w:r>
      <w:r w:rsidR="00D55465">
        <w:rPr>
          <w:color w:val="000000"/>
          <w:sz w:val="24"/>
          <w:lang w:eastAsia="en-US" w:bidi="en-US"/>
        </w:rPr>
        <w:t>5 marca</w:t>
      </w:r>
      <w:r w:rsidR="006276C8">
        <w:rPr>
          <w:color w:val="000000"/>
          <w:sz w:val="24"/>
          <w:lang w:eastAsia="en-US" w:bidi="en-US"/>
        </w:rPr>
        <w:t xml:space="preserve"> </w:t>
      </w:r>
      <w:r w:rsidR="004C5F13" w:rsidRPr="002A469C">
        <w:rPr>
          <w:color w:val="000000"/>
          <w:sz w:val="24"/>
          <w:lang w:eastAsia="en-US" w:bidi="en-US"/>
        </w:rPr>
        <w:t>20</w:t>
      </w:r>
      <w:r w:rsidR="00C37761">
        <w:rPr>
          <w:color w:val="000000"/>
          <w:sz w:val="24"/>
          <w:lang w:eastAsia="en-US" w:bidi="en-US"/>
        </w:rPr>
        <w:t>20</w:t>
      </w:r>
      <w:r w:rsidR="004C5F13" w:rsidRPr="002A469C">
        <w:rPr>
          <w:color w:val="000000"/>
          <w:sz w:val="24"/>
          <w:lang w:eastAsia="en-US" w:bidi="en-US"/>
        </w:rPr>
        <w:t xml:space="preserve">  r.  </w:t>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2A469C" w:rsidRDefault="004C5F13" w:rsidP="004C5F13">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Zgodnie z art.</w:t>
      </w:r>
      <w:r w:rsidRPr="002A469C">
        <w:rPr>
          <w:sz w:val="24"/>
          <w:lang w:eastAsia="en-US" w:bidi="en-US"/>
        </w:rPr>
        <w:t xml:space="preserve"> 14 ustawy z dnia 11 września 2015 r. o zdrowiu publicznym </w:t>
      </w:r>
      <w:r w:rsidR="002A469C">
        <w:rPr>
          <w:sz w:val="24"/>
          <w:lang w:eastAsia="ar-SA"/>
        </w:rPr>
        <w:t>(</w:t>
      </w:r>
      <w:r w:rsidR="00904446">
        <w:rPr>
          <w:sz w:val="24"/>
          <w:lang w:eastAsia="ar-SA"/>
        </w:rPr>
        <w:t xml:space="preserve">t.j. </w:t>
      </w:r>
      <w:r w:rsidR="002A469C">
        <w:rPr>
          <w:sz w:val="24"/>
          <w:lang w:eastAsia="ar-SA"/>
        </w:rPr>
        <w:t>Dz. U. z 201</w:t>
      </w:r>
      <w:r w:rsidR="00C37761">
        <w:rPr>
          <w:sz w:val="24"/>
          <w:lang w:eastAsia="ar-SA"/>
        </w:rPr>
        <w:t>9</w:t>
      </w:r>
      <w:r w:rsidR="002A469C">
        <w:rPr>
          <w:sz w:val="24"/>
          <w:lang w:eastAsia="ar-SA"/>
        </w:rPr>
        <w:t xml:space="preserve"> r.</w:t>
      </w:r>
      <w:r w:rsidRPr="002A469C">
        <w:rPr>
          <w:sz w:val="24"/>
          <w:lang w:eastAsia="ar-SA"/>
        </w:rPr>
        <w:t xml:space="preserve"> poz. </w:t>
      </w:r>
      <w:r w:rsidR="00792C71">
        <w:rPr>
          <w:sz w:val="24"/>
          <w:lang w:eastAsia="ar-SA"/>
        </w:rPr>
        <w:t>2</w:t>
      </w:r>
      <w:r w:rsidR="00C37761">
        <w:rPr>
          <w:sz w:val="24"/>
          <w:lang w:eastAsia="ar-SA"/>
        </w:rPr>
        <w:t>365</w:t>
      </w:r>
      <w:r w:rsidRPr="002A469C">
        <w:rPr>
          <w:sz w:val="24"/>
          <w:lang w:eastAsia="ar-SA"/>
        </w:rPr>
        <w:t>)</w:t>
      </w:r>
      <w:r w:rsidR="00E170B0">
        <w:rPr>
          <w:sz w:val="24"/>
          <w:lang w:eastAsia="en-US" w:bidi="en-US"/>
        </w:rPr>
        <w:t>,</w:t>
      </w:r>
      <w:r w:rsidRPr="002A469C">
        <w:rPr>
          <w:kern w:val="1"/>
          <w:sz w:val="24"/>
          <w:lang w:eastAsia="ar-SA"/>
        </w:rPr>
        <w:t xml:space="preserve"> </w:t>
      </w:r>
      <w:r w:rsidRPr="002A469C">
        <w:rPr>
          <w:color w:val="000000"/>
          <w:sz w:val="24"/>
          <w:lang w:eastAsia="en-US" w:bidi="en-US"/>
        </w:rPr>
        <w:t>Prezydent Miasta Świnoujście ogłasza otwarty konkurs na realizację niżej wymienionego</w:t>
      </w:r>
      <w:r w:rsidR="002A469C">
        <w:rPr>
          <w:color w:val="000000"/>
          <w:sz w:val="24"/>
          <w:lang w:eastAsia="en-US" w:bidi="en-US"/>
        </w:rPr>
        <w:t xml:space="preserve"> zadania </w:t>
      </w:r>
      <w:r w:rsidR="00E170B0">
        <w:rPr>
          <w:color w:val="000000"/>
          <w:sz w:val="24"/>
          <w:lang w:eastAsia="en-US" w:bidi="en-US"/>
        </w:rPr>
        <w:t xml:space="preserve"> z zakresu zdrowia publicznego </w:t>
      </w:r>
      <w:r w:rsidRPr="002A469C">
        <w:rPr>
          <w:color w:val="000000"/>
          <w:sz w:val="24"/>
          <w:lang w:eastAsia="en-US" w:bidi="en-US"/>
        </w:rPr>
        <w:t>wraz z kwotą dotacji przewidzianą w</w:t>
      </w:r>
      <w:r w:rsidR="00D55465">
        <w:rPr>
          <w:color w:val="000000"/>
          <w:sz w:val="24"/>
          <w:lang w:eastAsia="en-US" w:bidi="en-US"/>
        </w:rPr>
        <w:t> </w:t>
      </w:r>
      <w:r w:rsidRPr="002A469C">
        <w:rPr>
          <w:color w:val="000000"/>
          <w:sz w:val="24"/>
          <w:lang w:eastAsia="en-US" w:bidi="en-US"/>
        </w:rPr>
        <w:t>budżecie Miasta.</w:t>
      </w:r>
    </w:p>
    <w:p w:rsidR="004C5F13" w:rsidRPr="002A469C" w:rsidRDefault="004C5F13" w:rsidP="004C5F13">
      <w:pPr>
        <w:widowControl w:val="0"/>
        <w:suppressAutoHyphens/>
        <w:autoSpaceDE w:val="0"/>
        <w:spacing w:after="0" w:line="240" w:lineRule="auto"/>
        <w:ind w:firstLine="360"/>
        <w:jc w:val="both"/>
        <w:rPr>
          <w:color w:val="000000"/>
          <w:sz w:val="24"/>
          <w:lang w:eastAsia="en-US" w:bidi="en-US"/>
        </w:rPr>
      </w:pPr>
    </w:p>
    <w:p w:rsidR="00952295" w:rsidRPr="002A469C" w:rsidRDefault="00BC3B0D" w:rsidP="00BC3B0D">
      <w:pPr>
        <w:spacing w:after="0" w:line="240" w:lineRule="auto"/>
        <w:jc w:val="both"/>
        <w:rPr>
          <w:sz w:val="24"/>
        </w:rPr>
      </w:pPr>
      <w:r w:rsidRPr="002A469C">
        <w:rPr>
          <w:b/>
          <w:bCs/>
          <w:sz w:val="24"/>
        </w:rPr>
        <w:t xml:space="preserve">Nazwa zadania będącego przedmiotem konkursu ofert. </w:t>
      </w:r>
    </w:p>
    <w:p w:rsidR="00DF19DD" w:rsidRDefault="00513781" w:rsidP="00DF19DD">
      <w:pPr>
        <w:widowControl w:val="0"/>
        <w:tabs>
          <w:tab w:val="left" w:pos="720"/>
        </w:tabs>
        <w:suppressAutoHyphens/>
        <w:autoSpaceDE w:val="0"/>
        <w:spacing w:after="0" w:line="240" w:lineRule="auto"/>
        <w:jc w:val="both"/>
        <w:rPr>
          <w:b/>
          <w:bCs/>
          <w:sz w:val="24"/>
        </w:rPr>
      </w:pPr>
      <w:r>
        <w:rPr>
          <w:sz w:val="24"/>
          <w:lang w:eastAsia="ar-SA"/>
        </w:rPr>
        <w:t xml:space="preserve">Opracowanie i realizacja programu pn. </w:t>
      </w:r>
      <w:r w:rsidR="00952295" w:rsidRPr="002A469C">
        <w:rPr>
          <w:sz w:val="24"/>
          <w:lang w:eastAsia="ar-SA"/>
        </w:rPr>
        <w:t>„</w:t>
      </w:r>
      <w:r>
        <w:rPr>
          <w:sz w:val="24"/>
          <w:lang w:eastAsia="ar-SA"/>
        </w:rPr>
        <w:t xml:space="preserve">Ratujemy </w:t>
      </w:r>
      <w:r w:rsidR="00015CC3">
        <w:rPr>
          <w:sz w:val="24"/>
          <w:lang w:eastAsia="ar-SA"/>
        </w:rPr>
        <w:t>ucząc</w:t>
      </w:r>
      <w:r>
        <w:rPr>
          <w:sz w:val="24"/>
          <w:lang w:eastAsia="ar-SA"/>
        </w:rPr>
        <w:t>”</w:t>
      </w:r>
      <w:r w:rsidR="0060073B">
        <w:rPr>
          <w:sz w:val="24"/>
          <w:lang w:eastAsia="ar-SA"/>
        </w:rPr>
        <w:t>.</w:t>
      </w:r>
      <w:r w:rsidR="00DF19DD" w:rsidRPr="00DF19DD">
        <w:rPr>
          <w:b/>
          <w:bCs/>
          <w:sz w:val="24"/>
        </w:rPr>
        <w:t xml:space="preserve"> </w:t>
      </w:r>
    </w:p>
    <w:p w:rsidR="00DF19DD" w:rsidRDefault="00DF19DD" w:rsidP="00DF19DD">
      <w:pPr>
        <w:widowControl w:val="0"/>
        <w:tabs>
          <w:tab w:val="left" w:pos="720"/>
        </w:tabs>
        <w:suppressAutoHyphens/>
        <w:autoSpaceDE w:val="0"/>
        <w:spacing w:after="0" w:line="240" w:lineRule="auto"/>
        <w:jc w:val="both"/>
        <w:rPr>
          <w:b/>
          <w:bCs/>
          <w:sz w:val="24"/>
        </w:rPr>
      </w:pPr>
    </w:p>
    <w:p w:rsidR="00DF19DD" w:rsidRPr="002A469C" w:rsidRDefault="00DF19DD" w:rsidP="00DF19DD">
      <w:pPr>
        <w:widowControl w:val="0"/>
        <w:tabs>
          <w:tab w:val="left" w:pos="720"/>
        </w:tabs>
        <w:suppressAutoHyphens/>
        <w:autoSpaceDE w:val="0"/>
        <w:spacing w:after="0" w:line="240" w:lineRule="auto"/>
        <w:jc w:val="both"/>
        <w:rPr>
          <w:b/>
          <w:bCs/>
          <w:sz w:val="24"/>
        </w:rPr>
      </w:pPr>
      <w:r w:rsidRPr="002A469C">
        <w:rPr>
          <w:b/>
          <w:bCs/>
          <w:sz w:val="24"/>
        </w:rPr>
        <w:t>Termin realizacji zadania.</w:t>
      </w:r>
    </w:p>
    <w:p w:rsidR="00DF19DD" w:rsidRPr="002A469C" w:rsidRDefault="00DF19DD" w:rsidP="00DF19DD">
      <w:pPr>
        <w:widowControl w:val="0"/>
        <w:tabs>
          <w:tab w:val="left" w:pos="720"/>
        </w:tabs>
        <w:suppressAutoHyphens/>
        <w:autoSpaceDE w:val="0"/>
        <w:spacing w:after="0" w:line="240" w:lineRule="auto"/>
        <w:jc w:val="both"/>
        <w:rPr>
          <w:sz w:val="24"/>
          <w:lang w:eastAsia="ar-SA"/>
        </w:rPr>
      </w:pPr>
      <w:r w:rsidRPr="002A469C">
        <w:rPr>
          <w:bCs/>
          <w:sz w:val="24"/>
        </w:rPr>
        <w:t xml:space="preserve">Zadanie  będzie realizowane </w:t>
      </w:r>
      <w:r w:rsidRPr="002A469C">
        <w:rPr>
          <w:sz w:val="24"/>
          <w:lang w:eastAsia="ar-SA"/>
        </w:rPr>
        <w:t xml:space="preserve">w okresie od  </w:t>
      </w:r>
      <w:r>
        <w:rPr>
          <w:sz w:val="24"/>
          <w:lang w:eastAsia="ar-SA"/>
        </w:rPr>
        <w:t>kwietnia</w:t>
      </w:r>
      <w:r w:rsidRPr="002A469C">
        <w:rPr>
          <w:sz w:val="24"/>
          <w:lang w:eastAsia="ar-SA"/>
        </w:rPr>
        <w:t xml:space="preserve"> 20</w:t>
      </w:r>
      <w:r>
        <w:rPr>
          <w:sz w:val="24"/>
          <w:lang w:eastAsia="ar-SA"/>
        </w:rPr>
        <w:t>20</w:t>
      </w:r>
      <w:r w:rsidRPr="002A469C">
        <w:rPr>
          <w:sz w:val="24"/>
          <w:lang w:eastAsia="ar-SA"/>
        </w:rPr>
        <w:t xml:space="preserve"> r. do grudnia 20</w:t>
      </w:r>
      <w:r>
        <w:rPr>
          <w:sz w:val="24"/>
          <w:lang w:eastAsia="ar-SA"/>
        </w:rPr>
        <w:t>20</w:t>
      </w:r>
      <w:r w:rsidRPr="002A469C">
        <w:rPr>
          <w:sz w:val="24"/>
          <w:lang w:eastAsia="ar-SA"/>
        </w:rPr>
        <w:t xml:space="preserve"> r.</w:t>
      </w:r>
    </w:p>
    <w:p w:rsidR="004C5F13" w:rsidRPr="00513781" w:rsidRDefault="004C5F13" w:rsidP="00BC3B0D">
      <w:pPr>
        <w:widowControl w:val="0"/>
        <w:suppressAutoHyphens/>
        <w:autoSpaceDE w:val="0"/>
        <w:spacing w:after="0" w:line="240" w:lineRule="auto"/>
        <w:jc w:val="both"/>
        <w:rPr>
          <w:b/>
          <w:bCs/>
          <w:color w:val="000000"/>
          <w:sz w:val="24"/>
          <w:lang w:eastAsia="en-US" w:bidi="en-US"/>
        </w:rPr>
      </w:pPr>
    </w:p>
    <w:p w:rsidR="00BC3B0D" w:rsidRPr="002A469C" w:rsidRDefault="00BC3B0D" w:rsidP="00BC3B0D">
      <w:pPr>
        <w:spacing w:after="0" w:line="240" w:lineRule="auto"/>
        <w:jc w:val="both"/>
        <w:rPr>
          <w:sz w:val="24"/>
        </w:rPr>
      </w:pPr>
      <w:r w:rsidRPr="002A469C">
        <w:rPr>
          <w:b/>
          <w:bCs/>
          <w:sz w:val="24"/>
        </w:rPr>
        <w:t>Wysokość środków publicznych przeznaczonych na realizację zadania.</w:t>
      </w:r>
    </w:p>
    <w:p w:rsidR="004C5F13" w:rsidRPr="002A469C" w:rsidRDefault="00F2505E" w:rsidP="002A469C">
      <w:pPr>
        <w:spacing w:after="0" w:line="240" w:lineRule="auto"/>
        <w:jc w:val="both"/>
        <w:rPr>
          <w:sz w:val="24"/>
        </w:rPr>
      </w:pPr>
      <w:r w:rsidRPr="002A469C">
        <w:rPr>
          <w:sz w:val="24"/>
        </w:rPr>
        <w:t xml:space="preserve">Wysokość środków przeznaczonych na realizację zadania </w:t>
      </w:r>
      <w:r w:rsidR="002A469C">
        <w:rPr>
          <w:sz w:val="24"/>
        </w:rPr>
        <w:t xml:space="preserve">wynosi: </w:t>
      </w:r>
      <w:r w:rsidR="00511489">
        <w:rPr>
          <w:sz w:val="24"/>
        </w:rPr>
        <w:t>40</w:t>
      </w:r>
      <w:r w:rsidR="00513781">
        <w:rPr>
          <w:sz w:val="24"/>
        </w:rPr>
        <w:t>.000 zł</w:t>
      </w:r>
    </w:p>
    <w:p w:rsidR="00BC3B0D" w:rsidRPr="002A469C" w:rsidRDefault="004C5F13" w:rsidP="004C5F13">
      <w:pPr>
        <w:widowControl w:val="0"/>
        <w:tabs>
          <w:tab w:val="left" w:pos="720"/>
        </w:tabs>
        <w:suppressAutoHyphens/>
        <w:autoSpaceDE w:val="0"/>
        <w:spacing w:after="0" w:line="240" w:lineRule="auto"/>
        <w:jc w:val="both"/>
        <w:rPr>
          <w:b/>
          <w:bCs/>
          <w:sz w:val="24"/>
          <w:lang w:eastAsia="ar-SA"/>
        </w:rPr>
      </w:pPr>
      <w:r w:rsidRPr="002A469C">
        <w:rPr>
          <w:b/>
          <w:bCs/>
          <w:sz w:val="24"/>
          <w:lang w:eastAsia="ar-SA"/>
        </w:rPr>
        <w:t xml:space="preserve"> </w:t>
      </w:r>
    </w:p>
    <w:p w:rsidR="005155E4" w:rsidRDefault="00BC3B0D" w:rsidP="005155E4">
      <w:pPr>
        <w:spacing w:before="100" w:beforeAutospacing="1" w:after="100" w:afterAutospacing="1" w:line="240" w:lineRule="auto"/>
        <w:jc w:val="both"/>
        <w:rPr>
          <w:b/>
          <w:bCs/>
          <w:sz w:val="24"/>
        </w:rPr>
      </w:pPr>
      <w:r w:rsidRPr="002A469C">
        <w:rPr>
          <w:b/>
          <w:bCs/>
          <w:sz w:val="24"/>
        </w:rPr>
        <w:t xml:space="preserve">Warunki realizacji zadania. </w:t>
      </w:r>
    </w:p>
    <w:p w:rsidR="005155E4" w:rsidRDefault="005155E4" w:rsidP="005155E4">
      <w:pPr>
        <w:spacing w:before="100" w:beforeAutospacing="1" w:after="100" w:afterAutospacing="1" w:line="240" w:lineRule="auto"/>
        <w:jc w:val="both"/>
        <w:rPr>
          <w:color w:val="000000"/>
          <w:kern w:val="1"/>
          <w:sz w:val="24"/>
          <w:lang w:eastAsia="en-US" w:bidi="en-US"/>
        </w:rPr>
      </w:pPr>
      <w:r w:rsidRPr="005155E4">
        <w:rPr>
          <w:bCs/>
          <w:sz w:val="24"/>
        </w:rPr>
        <w:t>1.</w:t>
      </w:r>
      <w:r>
        <w:rPr>
          <w:b/>
          <w:bCs/>
          <w:sz w:val="24"/>
        </w:rPr>
        <w:t> </w:t>
      </w:r>
      <w:r w:rsidR="00BC3B0D" w:rsidRPr="002A469C">
        <w:rPr>
          <w:color w:val="000000"/>
          <w:kern w:val="1"/>
          <w:sz w:val="24"/>
          <w:lang w:eastAsia="en-US" w:bidi="en-US"/>
        </w:rPr>
        <w:t xml:space="preserve">Zadanie do realizacji przez podmioty, których cele statutowe lub przedmiot działalności dotyczą spraw objętych zadaniami określonymi w art. 2 </w:t>
      </w:r>
      <w:r w:rsidR="002A469C">
        <w:rPr>
          <w:color w:val="000000"/>
          <w:kern w:val="1"/>
          <w:sz w:val="24"/>
          <w:lang w:eastAsia="en-US" w:bidi="en-US"/>
        </w:rPr>
        <w:t>ustawy z dnia 11 września 2015</w:t>
      </w:r>
      <w:r w:rsidR="00B93A58">
        <w:rPr>
          <w:color w:val="000000"/>
          <w:kern w:val="1"/>
          <w:sz w:val="24"/>
          <w:lang w:eastAsia="en-US" w:bidi="en-US"/>
        </w:rPr>
        <w:t xml:space="preserve"> </w:t>
      </w:r>
      <w:r w:rsidR="00BC3B0D" w:rsidRPr="002A469C">
        <w:rPr>
          <w:color w:val="000000"/>
          <w:kern w:val="1"/>
          <w:sz w:val="24"/>
          <w:lang w:eastAsia="en-US" w:bidi="en-US"/>
        </w:rPr>
        <w:t xml:space="preserve">r. o zdrowiu publicznym, w tym organizacje pozarządowe i podmioty, o których mowa w </w:t>
      </w:r>
      <w:r w:rsidR="00B93A58">
        <w:rPr>
          <w:color w:val="000000"/>
          <w:kern w:val="1"/>
          <w:sz w:val="24"/>
          <w:lang w:eastAsia="en-US" w:bidi="en-US"/>
        </w:rPr>
        <w:t xml:space="preserve">art. </w:t>
      </w:r>
      <w:r w:rsidR="00BC3B0D" w:rsidRPr="002A469C">
        <w:rPr>
          <w:color w:val="000000"/>
          <w:kern w:val="1"/>
          <w:sz w:val="24"/>
          <w:lang w:eastAsia="en-US" w:bidi="en-US"/>
        </w:rPr>
        <w:t>3 ust. 2 i 3 ustawy z dnia 24 kwietnia 2003 r. o działalności pożytku publicznego i</w:t>
      </w:r>
      <w:r w:rsidR="00915CF4">
        <w:rPr>
          <w:color w:val="000000"/>
          <w:kern w:val="1"/>
          <w:sz w:val="24"/>
          <w:lang w:eastAsia="en-US" w:bidi="en-US"/>
        </w:rPr>
        <w:t xml:space="preserve"> o wolontariacie (</w:t>
      </w:r>
      <w:r w:rsidR="00F016D8">
        <w:rPr>
          <w:color w:val="000000"/>
          <w:kern w:val="1"/>
          <w:sz w:val="24"/>
          <w:lang w:eastAsia="en-US" w:bidi="en-US"/>
        </w:rPr>
        <w:t xml:space="preserve">t.j. </w:t>
      </w:r>
      <w:r w:rsidR="0045704A">
        <w:rPr>
          <w:color w:val="000000"/>
          <w:kern w:val="1"/>
          <w:sz w:val="24"/>
          <w:lang w:eastAsia="en-US" w:bidi="en-US"/>
        </w:rPr>
        <w:t>Dz. U. z 201</w:t>
      </w:r>
      <w:r w:rsidR="003868F8">
        <w:rPr>
          <w:color w:val="000000"/>
          <w:kern w:val="1"/>
          <w:sz w:val="24"/>
          <w:lang w:eastAsia="en-US" w:bidi="en-US"/>
        </w:rPr>
        <w:t>9</w:t>
      </w:r>
      <w:r w:rsidR="00D55465">
        <w:rPr>
          <w:color w:val="000000"/>
          <w:kern w:val="1"/>
          <w:sz w:val="24"/>
          <w:lang w:eastAsia="en-US" w:bidi="en-US"/>
        </w:rPr>
        <w:t xml:space="preserve"> r. </w:t>
      </w:r>
      <w:r w:rsidR="00BC3B0D" w:rsidRPr="002A469C">
        <w:rPr>
          <w:color w:val="000000"/>
          <w:kern w:val="1"/>
          <w:sz w:val="24"/>
          <w:lang w:eastAsia="en-US" w:bidi="en-US"/>
        </w:rPr>
        <w:t>poz</w:t>
      </w:r>
      <w:r w:rsidR="00915CF4">
        <w:rPr>
          <w:color w:val="000000"/>
          <w:kern w:val="1"/>
          <w:sz w:val="24"/>
          <w:lang w:eastAsia="en-US" w:bidi="en-US"/>
        </w:rPr>
        <w:t xml:space="preserve">. </w:t>
      </w:r>
      <w:r w:rsidR="003868F8">
        <w:rPr>
          <w:color w:val="000000"/>
          <w:kern w:val="1"/>
          <w:sz w:val="24"/>
          <w:lang w:eastAsia="en-US" w:bidi="en-US"/>
        </w:rPr>
        <w:t>688</w:t>
      </w:r>
      <w:r w:rsidR="00A651AD">
        <w:rPr>
          <w:color w:val="000000"/>
          <w:kern w:val="1"/>
          <w:sz w:val="24"/>
          <w:lang w:eastAsia="en-US" w:bidi="en-US"/>
        </w:rPr>
        <w:t xml:space="preserve"> z</w:t>
      </w:r>
      <w:r w:rsidR="0045704A">
        <w:rPr>
          <w:color w:val="000000"/>
          <w:kern w:val="1"/>
          <w:sz w:val="24"/>
          <w:lang w:eastAsia="en-US" w:bidi="en-US"/>
        </w:rPr>
        <w:t xml:space="preserve"> późn. zm.</w:t>
      </w:r>
      <w:r w:rsidR="00BC3B0D" w:rsidRPr="002A469C">
        <w:rPr>
          <w:color w:val="000000"/>
          <w:kern w:val="1"/>
          <w:sz w:val="24"/>
          <w:lang w:eastAsia="en-US" w:bidi="en-US"/>
        </w:rPr>
        <w:t>).</w:t>
      </w:r>
    </w:p>
    <w:p w:rsidR="00DD57FE" w:rsidRPr="005155E4" w:rsidRDefault="005155E4" w:rsidP="005155E4">
      <w:pPr>
        <w:spacing w:before="100" w:beforeAutospacing="1" w:after="100" w:afterAutospacing="1" w:line="240" w:lineRule="auto"/>
        <w:jc w:val="both"/>
        <w:rPr>
          <w:sz w:val="24"/>
        </w:rPr>
      </w:pPr>
      <w:r>
        <w:rPr>
          <w:sz w:val="24"/>
        </w:rPr>
        <w:t>2. </w:t>
      </w:r>
      <w:r w:rsidR="0038612E">
        <w:rPr>
          <w:sz w:val="24"/>
        </w:rPr>
        <w:t xml:space="preserve">W ramach </w:t>
      </w:r>
      <w:r w:rsidR="00DD57FE" w:rsidRPr="00915CF4">
        <w:rPr>
          <w:sz w:val="24"/>
        </w:rPr>
        <w:t>zadania należy w szczególności</w:t>
      </w:r>
      <w:r w:rsidR="0038612E">
        <w:rPr>
          <w:sz w:val="24"/>
        </w:rPr>
        <w:t xml:space="preserve"> zrealizować</w:t>
      </w:r>
      <w:r w:rsidR="00DD57FE" w:rsidRPr="00915CF4">
        <w:rPr>
          <w:sz w:val="24"/>
        </w:rPr>
        <w:t>:</w:t>
      </w:r>
    </w:p>
    <w:p w:rsidR="0038612E" w:rsidRDefault="0038612E" w:rsidP="00864FCA">
      <w:pPr>
        <w:pStyle w:val="Akapitzlist"/>
        <w:numPr>
          <w:ilvl w:val="0"/>
          <w:numId w:val="28"/>
        </w:numPr>
        <w:autoSpaceDE w:val="0"/>
        <w:spacing w:after="0" w:line="240" w:lineRule="auto"/>
        <w:ind w:left="360"/>
        <w:jc w:val="both"/>
        <w:rPr>
          <w:sz w:val="24"/>
        </w:rPr>
      </w:pPr>
      <w:r>
        <w:rPr>
          <w:sz w:val="24"/>
        </w:rPr>
        <w:t>d</w:t>
      </w:r>
      <w:r w:rsidR="00864FCA" w:rsidRPr="0038612E">
        <w:rPr>
          <w:sz w:val="24"/>
        </w:rPr>
        <w:t>ziałania</w:t>
      </w:r>
      <w:r w:rsidR="00F356DA" w:rsidRPr="0038612E">
        <w:rPr>
          <w:sz w:val="24"/>
        </w:rPr>
        <w:t xml:space="preserve"> </w:t>
      </w:r>
      <w:r w:rsidR="00DD0004">
        <w:rPr>
          <w:sz w:val="24"/>
        </w:rPr>
        <w:t xml:space="preserve">informacyjno-edukacyjne </w:t>
      </w:r>
      <w:r w:rsidR="00F356DA" w:rsidRPr="0038612E">
        <w:rPr>
          <w:sz w:val="24"/>
        </w:rPr>
        <w:t>mając</w:t>
      </w:r>
      <w:r w:rsidRPr="0038612E">
        <w:rPr>
          <w:sz w:val="24"/>
        </w:rPr>
        <w:t>e</w:t>
      </w:r>
      <w:r w:rsidR="00DD0004">
        <w:rPr>
          <w:sz w:val="24"/>
        </w:rPr>
        <w:t xml:space="preserve"> na celu zwiększenie</w:t>
      </w:r>
      <w:r w:rsidR="00F356DA" w:rsidRPr="0038612E">
        <w:rPr>
          <w:sz w:val="24"/>
        </w:rPr>
        <w:t xml:space="preserve"> bezpieczeństwa osób korzystających z przyległych akwenów wodnych </w:t>
      </w:r>
      <w:r w:rsidR="00832F7A" w:rsidRPr="0038612E">
        <w:rPr>
          <w:sz w:val="24"/>
        </w:rPr>
        <w:t>poprzez</w:t>
      </w:r>
      <w:r w:rsidRPr="0038612E">
        <w:rPr>
          <w:sz w:val="24"/>
        </w:rPr>
        <w:t xml:space="preserve"> uświadomienie</w:t>
      </w:r>
      <w:r w:rsidR="00832F7A" w:rsidRPr="0038612E">
        <w:rPr>
          <w:sz w:val="24"/>
        </w:rPr>
        <w:t xml:space="preserve"> zagroże</w:t>
      </w:r>
      <w:r w:rsidRPr="0038612E">
        <w:rPr>
          <w:sz w:val="24"/>
        </w:rPr>
        <w:t>ń</w:t>
      </w:r>
      <w:r w:rsidR="00832F7A" w:rsidRPr="0038612E">
        <w:rPr>
          <w:sz w:val="24"/>
        </w:rPr>
        <w:t xml:space="preserve"> oraz propagowanie zdrowego trybu życia poprzez aktywność fizyczną i zapobieganie nałogom</w:t>
      </w:r>
      <w:r w:rsidRPr="0038612E">
        <w:rPr>
          <w:sz w:val="24"/>
        </w:rPr>
        <w:t xml:space="preserve"> </w:t>
      </w:r>
      <w:r w:rsidR="00496C9E">
        <w:rPr>
          <w:sz w:val="24"/>
        </w:rPr>
        <w:t>wśród </w:t>
      </w:r>
      <w:r w:rsidR="00F356DA" w:rsidRPr="0038612E">
        <w:rPr>
          <w:sz w:val="24"/>
        </w:rPr>
        <w:t>seniorów</w:t>
      </w:r>
      <w:r w:rsidR="00496C9E">
        <w:rPr>
          <w:sz w:val="24"/>
        </w:rPr>
        <w:t xml:space="preserve"> i </w:t>
      </w:r>
      <w:r w:rsidR="00E67687" w:rsidRPr="0038612E">
        <w:rPr>
          <w:sz w:val="24"/>
        </w:rPr>
        <w:t xml:space="preserve">dzieci w wieku przedszkolnym i młodzież </w:t>
      </w:r>
      <w:r w:rsidR="005B596A" w:rsidRPr="0038612E">
        <w:rPr>
          <w:sz w:val="24"/>
        </w:rPr>
        <w:t xml:space="preserve">uczęszczającą do </w:t>
      </w:r>
      <w:r w:rsidR="00E67687" w:rsidRPr="0038612E">
        <w:rPr>
          <w:sz w:val="24"/>
        </w:rPr>
        <w:t>szk</w:t>
      </w:r>
      <w:r w:rsidR="005B596A" w:rsidRPr="0038612E">
        <w:rPr>
          <w:sz w:val="24"/>
        </w:rPr>
        <w:t>ół</w:t>
      </w:r>
      <w:r w:rsidR="00DF19DD" w:rsidRPr="0038612E">
        <w:rPr>
          <w:sz w:val="24"/>
        </w:rPr>
        <w:t xml:space="preserve"> w</w:t>
      </w:r>
      <w:r w:rsidR="00DD0004">
        <w:rPr>
          <w:sz w:val="24"/>
        </w:rPr>
        <w:t> </w:t>
      </w:r>
      <w:r w:rsidR="00DF19DD" w:rsidRPr="0038612E">
        <w:rPr>
          <w:sz w:val="24"/>
        </w:rPr>
        <w:t>Świnoujściu</w:t>
      </w:r>
      <w:r w:rsidR="00F356DA" w:rsidRPr="0038612E">
        <w:rPr>
          <w:sz w:val="24"/>
        </w:rPr>
        <w:t>.</w:t>
      </w:r>
    </w:p>
    <w:p w:rsidR="0038612E" w:rsidRDefault="00B04B50" w:rsidP="005155E4">
      <w:pPr>
        <w:pStyle w:val="Akapitzlist"/>
        <w:numPr>
          <w:ilvl w:val="0"/>
          <w:numId w:val="28"/>
        </w:numPr>
        <w:autoSpaceDE w:val="0"/>
        <w:spacing w:after="0" w:line="240" w:lineRule="auto"/>
        <w:ind w:left="360"/>
        <w:jc w:val="both"/>
        <w:rPr>
          <w:sz w:val="24"/>
        </w:rPr>
      </w:pPr>
      <w:r w:rsidRPr="0038612E">
        <w:rPr>
          <w:sz w:val="24"/>
        </w:rPr>
        <w:t xml:space="preserve">kurs </w:t>
      </w:r>
      <w:r w:rsidR="0038612E">
        <w:rPr>
          <w:sz w:val="24"/>
        </w:rPr>
        <w:t xml:space="preserve">ratownika wodnego i pomocy przedmedycznej wraz z obsługą defibrylatora </w:t>
      </w:r>
      <w:r w:rsidRPr="0038612E">
        <w:rPr>
          <w:sz w:val="24"/>
        </w:rPr>
        <w:t xml:space="preserve">dla </w:t>
      </w:r>
      <w:r w:rsidR="004C6A33" w:rsidRPr="0038612E">
        <w:rPr>
          <w:sz w:val="24"/>
        </w:rPr>
        <w:t>15</w:t>
      </w:r>
      <w:r w:rsidR="00496C9E">
        <w:rPr>
          <w:sz w:val="24"/>
        </w:rPr>
        <w:t> </w:t>
      </w:r>
      <w:r w:rsidRPr="0038612E">
        <w:rPr>
          <w:sz w:val="24"/>
        </w:rPr>
        <w:t>uczniów</w:t>
      </w:r>
      <w:r w:rsidR="00F356DA" w:rsidRPr="0038612E">
        <w:rPr>
          <w:sz w:val="24"/>
        </w:rPr>
        <w:t xml:space="preserve"> szkół ponadpodstawowych</w:t>
      </w:r>
      <w:r w:rsidR="0038612E">
        <w:rPr>
          <w:sz w:val="24"/>
        </w:rPr>
        <w:t>,</w:t>
      </w:r>
    </w:p>
    <w:p w:rsidR="00513795" w:rsidRDefault="00020DD0" w:rsidP="00513795">
      <w:pPr>
        <w:pStyle w:val="Akapitzlist"/>
        <w:numPr>
          <w:ilvl w:val="0"/>
          <w:numId w:val="28"/>
        </w:numPr>
        <w:autoSpaceDE w:val="0"/>
        <w:spacing w:after="0" w:line="240" w:lineRule="auto"/>
        <w:ind w:left="360"/>
        <w:jc w:val="both"/>
        <w:rPr>
          <w:sz w:val="24"/>
        </w:rPr>
      </w:pPr>
      <w:r w:rsidRPr="0038612E">
        <w:rPr>
          <w:sz w:val="24"/>
        </w:rPr>
        <w:t>spływ</w:t>
      </w:r>
      <w:r w:rsidR="00AF2757" w:rsidRPr="0038612E">
        <w:rPr>
          <w:sz w:val="24"/>
        </w:rPr>
        <w:t xml:space="preserve"> kajakowy</w:t>
      </w:r>
      <w:r w:rsidRPr="0038612E">
        <w:rPr>
          <w:sz w:val="24"/>
        </w:rPr>
        <w:t xml:space="preserve"> dla 15</w:t>
      </w:r>
      <w:r w:rsidR="005B596A" w:rsidRPr="0038612E">
        <w:rPr>
          <w:sz w:val="24"/>
        </w:rPr>
        <w:t xml:space="preserve"> </w:t>
      </w:r>
      <w:r w:rsidR="00436431" w:rsidRPr="0038612E">
        <w:rPr>
          <w:sz w:val="24"/>
        </w:rPr>
        <w:t>uczniów</w:t>
      </w:r>
      <w:r w:rsidR="005B596A" w:rsidRPr="0038612E">
        <w:rPr>
          <w:sz w:val="24"/>
        </w:rPr>
        <w:t>.</w:t>
      </w:r>
    </w:p>
    <w:p w:rsidR="00513795" w:rsidRDefault="00513795" w:rsidP="00513795">
      <w:pPr>
        <w:pStyle w:val="Akapitzlist"/>
        <w:autoSpaceDE w:val="0"/>
        <w:spacing w:after="0" w:line="240" w:lineRule="auto"/>
        <w:ind w:left="360"/>
        <w:jc w:val="both"/>
        <w:rPr>
          <w:sz w:val="24"/>
        </w:rPr>
      </w:pPr>
    </w:p>
    <w:p w:rsidR="00F95C04" w:rsidRPr="00513795" w:rsidRDefault="00F95C04" w:rsidP="00513795">
      <w:pPr>
        <w:pStyle w:val="Akapitzlist"/>
        <w:numPr>
          <w:ilvl w:val="0"/>
          <w:numId w:val="11"/>
        </w:numPr>
        <w:autoSpaceDE w:val="0"/>
        <w:spacing w:after="0" w:line="240" w:lineRule="auto"/>
        <w:jc w:val="both"/>
        <w:rPr>
          <w:sz w:val="24"/>
        </w:rPr>
      </w:pPr>
      <w:r w:rsidRPr="00513795">
        <w:rPr>
          <w:sz w:val="24"/>
        </w:rPr>
        <w:t>Nie dopuszcza się  pobierania opłat od adresatów zadania.</w:t>
      </w:r>
    </w:p>
    <w:p w:rsidR="00361621" w:rsidRPr="002A469C" w:rsidRDefault="00361621" w:rsidP="00EF7C05">
      <w:pPr>
        <w:widowControl w:val="0"/>
        <w:numPr>
          <w:ilvl w:val="0"/>
          <w:numId w:val="11"/>
        </w:numPr>
        <w:suppressAutoHyphens/>
        <w:autoSpaceDE w:val="0"/>
        <w:spacing w:after="0" w:line="240" w:lineRule="auto"/>
        <w:ind w:hanging="357"/>
        <w:jc w:val="both"/>
        <w:rPr>
          <w:sz w:val="24"/>
        </w:rPr>
      </w:pPr>
      <w:r w:rsidRPr="002A469C">
        <w:rPr>
          <w:sz w:val="24"/>
        </w:rPr>
        <w:t xml:space="preserve">Podmioty, które otrzymają dotację na realizację zadania są zobowiązane zamieszczać w sposób czytelny informację, iż realizowany projekt jest dofinansowany z budżetu </w:t>
      </w:r>
      <w:r w:rsidR="0055376C">
        <w:rPr>
          <w:sz w:val="24"/>
        </w:rPr>
        <w:t xml:space="preserve">Miasta Świnoujście. Informacja </w:t>
      </w:r>
      <w:r w:rsidRPr="002A469C">
        <w:rPr>
          <w:sz w:val="24"/>
        </w:rPr>
        <w:t>powinna być zawarta w wydawanych w ramach zadania publikacjach, materiałac</w:t>
      </w:r>
      <w:r w:rsidR="00EF7C05">
        <w:rPr>
          <w:sz w:val="24"/>
        </w:rPr>
        <w:t>h informacyjnych, promocyjnych.</w:t>
      </w:r>
    </w:p>
    <w:p w:rsidR="00385B00" w:rsidRPr="00EF7C05" w:rsidRDefault="00361621" w:rsidP="00EF7C05">
      <w:pPr>
        <w:widowControl w:val="0"/>
        <w:numPr>
          <w:ilvl w:val="0"/>
          <w:numId w:val="11"/>
        </w:numPr>
        <w:suppressAutoHyphens/>
        <w:autoSpaceDE w:val="0"/>
        <w:spacing w:after="0" w:line="240" w:lineRule="auto"/>
        <w:ind w:hanging="357"/>
        <w:jc w:val="both"/>
        <w:rPr>
          <w:sz w:val="24"/>
        </w:rPr>
      </w:pPr>
      <w:r w:rsidRPr="002A469C">
        <w:rPr>
          <w:sz w:val="24"/>
        </w:rPr>
        <w:t>Środki z przyznanej dotacji mogą być wydatkowane wyłącznie na pokrycie wydatków (koszty kwalifikowane):</w:t>
      </w:r>
    </w:p>
    <w:p w:rsidR="00385B00" w:rsidRPr="002A469C" w:rsidRDefault="00385B00" w:rsidP="00EF7C05">
      <w:pPr>
        <w:numPr>
          <w:ilvl w:val="1"/>
          <w:numId w:val="14"/>
        </w:numPr>
        <w:spacing w:after="0" w:line="240" w:lineRule="auto"/>
        <w:ind w:hanging="357"/>
        <w:jc w:val="both"/>
        <w:rPr>
          <w:sz w:val="24"/>
        </w:rPr>
      </w:pPr>
      <w:r w:rsidRPr="002A469C">
        <w:rPr>
          <w:sz w:val="24"/>
        </w:rPr>
        <w:lastRenderedPageBreak/>
        <w:t>przewidzianych w ofercie, uwzględnionych w kosztorysie stanowiącej załącznik do umowy zawartej pomiędzy o</w:t>
      </w:r>
      <w:r w:rsidR="00CA7572">
        <w:rPr>
          <w:sz w:val="24"/>
        </w:rPr>
        <w:t>ferentem a Miastem Świnoujście,</w:t>
      </w:r>
    </w:p>
    <w:p w:rsidR="00385B00" w:rsidRPr="002A469C" w:rsidRDefault="00385B00" w:rsidP="00385B00">
      <w:pPr>
        <w:numPr>
          <w:ilvl w:val="1"/>
          <w:numId w:val="14"/>
        </w:numPr>
        <w:spacing w:before="100" w:beforeAutospacing="1" w:after="100" w:afterAutospacing="1" w:line="240" w:lineRule="auto"/>
        <w:jc w:val="both"/>
        <w:rPr>
          <w:sz w:val="24"/>
        </w:rPr>
      </w:pPr>
      <w:r w:rsidRPr="002A469C">
        <w:rPr>
          <w:sz w:val="24"/>
        </w:rPr>
        <w:t>spełniających wymogi racjonalnego i oszczędnego gosp</w:t>
      </w:r>
      <w:r w:rsidR="00323B86">
        <w:rPr>
          <w:sz w:val="24"/>
        </w:rPr>
        <w:t>odarowania środkami publicznymi</w:t>
      </w:r>
      <w:r w:rsidR="00CA7572">
        <w:rPr>
          <w:sz w:val="24"/>
        </w:rPr>
        <w:t>,</w:t>
      </w:r>
    </w:p>
    <w:p w:rsidR="00385B00" w:rsidRPr="002A469C" w:rsidRDefault="00385B00" w:rsidP="00385B00">
      <w:pPr>
        <w:numPr>
          <w:ilvl w:val="1"/>
          <w:numId w:val="14"/>
        </w:numPr>
        <w:spacing w:before="100" w:beforeAutospacing="1" w:after="100" w:afterAutospacing="1" w:line="240" w:lineRule="auto"/>
        <w:jc w:val="both"/>
        <w:rPr>
          <w:sz w:val="24"/>
        </w:rPr>
      </w:pPr>
      <w:r w:rsidRPr="002A469C">
        <w:rPr>
          <w:sz w:val="24"/>
        </w:rPr>
        <w:t xml:space="preserve">poniesionych w terminie realizacji zadania, </w:t>
      </w:r>
    </w:p>
    <w:p w:rsidR="00385B00" w:rsidRPr="002A469C" w:rsidRDefault="00385B00" w:rsidP="00EF7C05">
      <w:pPr>
        <w:numPr>
          <w:ilvl w:val="1"/>
          <w:numId w:val="14"/>
        </w:numPr>
        <w:spacing w:after="0" w:line="240" w:lineRule="auto"/>
        <w:ind w:hanging="357"/>
        <w:jc w:val="both"/>
        <w:rPr>
          <w:sz w:val="24"/>
        </w:rPr>
      </w:pPr>
      <w:r w:rsidRPr="002A469C">
        <w:rPr>
          <w:sz w:val="24"/>
        </w:rPr>
        <w:t>po</w:t>
      </w:r>
      <w:r w:rsidR="00CA7572">
        <w:rPr>
          <w:sz w:val="24"/>
        </w:rPr>
        <w:t>twierdzonymi</w:t>
      </w:r>
      <w:r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Pr="002A469C">
        <w:rPr>
          <w:sz w:val="24"/>
        </w:rPr>
        <w:t xml:space="preserve"> </w:t>
      </w:r>
    </w:p>
    <w:p w:rsidR="00385B00" w:rsidRPr="002A469C" w:rsidRDefault="00385B00" w:rsidP="00EF7C05">
      <w:pPr>
        <w:numPr>
          <w:ilvl w:val="1"/>
          <w:numId w:val="14"/>
        </w:numPr>
        <w:spacing w:after="0" w:line="240" w:lineRule="auto"/>
        <w:ind w:hanging="357"/>
        <w:jc w:val="both"/>
        <w:rPr>
          <w:sz w:val="24"/>
        </w:rPr>
      </w:pPr>
      <w:r w:rsidRPr="002A469C">
        <w:rPr>
          <w:sz w:val="24"/>
        </w:rPr>
        <w:t>kosztami kwalifikowanymi mogą być</w:t>
      </w:r>
      <w:r w:rsidR="00CB3EDE">
        <w:rPr>
          <w:sz w:val="24"/>
        </w:rPr>
        <w:t xml:space="preserve"> wydatki niezbędne do realizacji działań w</w:t>
      </w:r>
      <w:r w:rsidR="00502929">
        <w:rPr>
          <w:sz w:val="24"/>
        </w:rPr>
        <w:t> </w:t>
      </w:r>
      <w:r w:rsidR="00CB3EDE">
        <w:rPr>
          <w:sz w:val="24"/>
        </w:rPr>
        <w:t>ramach przedmiotowego zadania, w tym</w:t>
      </w:r>
      <w:r w:rsidRPr="002A469C">
        <w:rPr>
          <w:sz w:val="24"/>
        </w:rPr>
        <w:t>:</w:t>
      </w:r>
    </w:p>
    <w:p w:rsidR="00385B00" w:rsidRPr="00451EA4" w:rsidRDefault="00CB3EDE" w:rsidP="00451EA4">
      <w:pPr>
        <w:numPr>
          <w:ilvl w:val="2"/>
          <w:numId w:val="16"/>
        </w:numPr>
        <w:spacing w:after="0" w:line="240" w:lineRule="auto"/>
        <w:ind w:hanging="357"/>
        <w:jc w:val="both"/>
        <w:rPr>
          <w:sz w:val="24"/>
        </w:rPr>
      </w:pPr>
      <w:r w:rsidRPr="00451EA4">
        <w:rPr>
          <w:sz w:val="24"/>
        </w:rPr>
        <w:t>wynagrodzenie osób</w:t>
      </w:r>
      <w:r w:rsidR="00502929">
        <w:rPr>
          <w:sz w:val="24"/>
        </w:rPr>
        <w:t>,</w:t>
      </w:r>
    </w:p>
    <w:p w:rsidR="00385B00" w:rsidRPr="002A469C" w:rsidRDefault="00385B00" w:rsidP="00913913">
      <w:pPr>
        <w:numPr>
          <w:ilvl w:val="2"/>
          <w:numId w:val="16"/>
        </w:numPr>
        <w:tabs>
          <w:tab w:val="clear" w:pos="2160"/>
          <w:tab w:val="num" w:pos="1800"/>
        </w:tabs>
        <w:spacing w:after="0" w:line="240" w:lineRule="auto"/>
        <w:ind w:hanging="357"/>
        <w:jc w:val="both"/>
        <w:rPr>
          <w:sz w:val="24"/>
        </w:rPr>
      </w:pPr>
      <w:r w:rsidRPr="002A469C">
        <w:rPr>
          <w:sz w:val="24"/>
        </w:rPr>
        <w:t>koszty materiałów</w:t>
      </w:r>
      <w:r w:rsidR="00FF243E">
        <w:rPr>
          <w:sz w:val="24"/>
        </w:rPr>
        <w:t xml:space="preserve"> biurowych</w:t>
      </w:r>
      <w:r w:rsidR="00F635E7">
        <w:rPr>
          <w:sz w:val="24"/>
        </w:rPr>
        <w:t>,</w:t>
      </w:r>
      <w:r w:rsidRPr="002A469C">
        <w:rPr>
          <w:sz w:val="24"/>
        </w:rPr>
        <w:t xml:space="preserve"> </w:t>
      </w:r>
    </w:p>
    <w:p w:rsidR="00385B00" w:rsidRDefault="00385B00" w:rsidP="00385B00">
      <w:pPr>
        <w:numPr>
          <w:ilvl w:val="2"/>
          <w:numId w:val="16"/>
        </w:numPr>
        <w:spacing w:before="100" w:beforeAutospacing="1" w:after="100" w:afterAutospacing="1" w:line="240" w:lineRule="auto"/>
        <w:jc w:val="both"/>
        <w:rPr>
          <w:sz w:val="24"/>
        </w:rPr>
      </w:pPr>
      <w:r w:rsidRPr="002A469C">
        <w:rPr>
          <w:sz w:val="24"/>
        </w:rPr>
        <w:t>koszty materiałów promoc</w:t>
      </w:r>
      <w:r w:rsidR="00AE13F8">
        <w:rPr>
          <w:sz w:val="24"/>
        </w:rPr>
        <w:t>yjnych (np.</w:t>
      </w:r>
      <w:r w:rsidRPr="002A469C">
        <w:rPr>
          <w:sz w:val="24"/>
        </w:rPr>
        <w:t xml:space="preserve"> ulotk</w:t>
      </w:r>
      <w:r w:rsidR="00FF243E">
        <w:rPr>
          <w:sz w:val="24"/>
        </w:rPr>
        <w:t>i</w:t>
      </w:r>
      <w:r w:rsidRPr="002A469C">
        <w:rPr>
          <w:sz w:val="24"/>
        </w:rPr>
        <w:t>,</w:t>
      </w:r>
      <w:r w:rsidR="00CE62B4">
        <w:rPr>
          <w:sz w:val="24"/>
        </w:rPr>
        <w:t xml:space="preserve"> plakat</w:t>
      </w:r>
      <w:r w:rsidR="00FF243E">
        <w:rPr>
          <w:sz w:val="24"/>
        </w:rPr>
        <w:t>y, upominki</w:t>
      </w:r>
      <w:r w:rsidRPr="002A469C">
        <w:rPr>
          <w:sz w:val="24"/>
        </w:rPr>
        <w:t xml:space="preserve">), </w:t>
      </w:r>
    </w:p>
    <w:p w:rsidR="00451EA4" w:rsidRPr="002A469C" w:rsidRDefault="00AE13F8" w:rsidP="00385B00">
      <w:pPr>
        <w:numPr>
          <w:ilvl w:val="2"/>
          <w:numId w:val="16"/>
        </w:numPr>
        <w:spacing w:before="100" w:beforeAutospacing="1" w:after="100" w:afterAutospacing="1" w:line="240" w:lineRule="auto"/>
        <w:jc w:val="both"/>
        <w:rPr>
          <w:sz w:val="24"/>
        </w:rPr>
      </w:pPr>
      <w:r>
        <w:rPr>
          <w:sz w:val="24"/>
        </w:rPr>
        <w:t>koszty związane z organizacją spływu kajakowego (np. dojazd</w:t>
      </w:r>
      <w:r w:rsidR="00E6298C">
        <w:rPr>
          <w:sz w:val="24"/>
        </w:rPr>
        <w:t>u</w:t>
      </w:r>
      <w:r>
        <w:rPr>
          <w:sz w:val="24"/>
        </w:rPr>
        <w:t xml:space="preserve">, </w:t>
      </w:r>
      <w:r w:rsidR="00E6298C">
        <w:rPr>
          <w:sz w:val="24"/>
        </w:rPr>
        <w:t>noclegu</w:t>
      </w:r>
      <w:r w:rsidR="00B7415D">
        <w:rPr>
          <w:sz w:val="24"/>
        </w:rPr>
        <w:t>, wyżywienia</w:t>
      </w:r>
      <w:r>
        <w:rPr>
          <w:sz w:val="24"/>
        </w:rPr>
        <w:t>)</w:t>
      </w:r>
      <w:r w:rsidR="00B7415D">
        <w:rPr>
          <w:sz w:val="24"/>
        </w:rPr>
        <w:t>,</w:t>
      </w:r>
    </w:p>
    <w:p w:rsidR="00385B00" w:rsidRPr="002A469C" w:rsidRDefault="00385B00" w:rsidP="00385B00">
      <w:pPr>
        <w:numPr>
          <w:ilvl w:val="2"/>
          <w:numId w:val="16"/>
        </w:numPr>
        <w:spacing w:before="100" w:beforeAutospacing="1" w:after="100" w:afterAutospacing="1" w:line="240" w:lineRule="auto"/>
        <w:jc w:val="both"/>
        <w:rPr>
          <w:sz w:val="24"/>
        </w:rPr>
      </w:pPr>
      <w:r w:rsidRPr="002A469C">
        <w:rPr>
          <w:sz w:val="24"/>
        </w:rPr>
        <w:t>koszty obsługi zadania, w tym koszty administracyjne (m.in.: koordynacja administracyjna zadania, obsługa finansowa zadania)</w:t>
      </w:r>
      <w:r w:rsidR="00502929">
        <w:rPr>
          <w:sz w:val="24"/>
        </w:rPr>
        <w:t>.</w:t>
      </w:r>
    </w:p>
    <w:p w:rsidR="00385B00" w:rsidRPr="002A469C" w:rsidRDefault="00385B00" w:rsidP="00EF7C05">
      <w:pPr>
        <w:widowControl w:val="0"/>
        <w:numPr>
          <w:ilvl w:val="0"/>
          <w:numId w:val="11"/>
        </w:numPr>
        <w:suppressAutoHyphens/>
        <w:autoSpaceDE w:val="0"/>
        <w:spacing w:after="0" w:line="240" w:lineRule="auto"/>
        <w:ind w:hanging="357"/>
        <w:jc w:val="both"/>
        <w:rPr>
          <w:sz w:val="24"/>
        </w:rPr>
      </w:pPr>
      <w:r w:rsidRPr="002A469C">
        <w:rPr>
          <w:sz w:val="24"/>
        </w:rPr>
        <w:t>Za koszty, których nie można sfinansować z przyznanej dotacji uznaje się w szczególności (koszty niekwalifikowane):</w:t>
      </w:r>
    </w:p>
    <w:p w:rsidR="00385B00" w:rsidRPr="002A469C" w:rsidRDefault="00385B00" w:rsidP="00EF7C05">
      <w:pPr>
        <w:numPr>
          <w:ilvl w:val="4"/>
          <w:numId w:val="18"/>
        </w:numPr>
        <w:spacing w:after="0" w:line="240" w:lineRule="auto"/>
        <w:ind w:hanging="357"/>
        <w:jc w:val="both"/>
        <w:rPr>
          <w:sz w:val="24"/>
        </w:rPr>
      </w:pPr>
      <w:r w:rsidRPr="002A469C">
        <w:rPr>
          <w:sz w:val="24"/>
        </w:rPr>
        <w:t>zobowiązania powstałe przed terminem rozpoczęcia zadania</w:t>
      </w:r>
      <w:r w:rsidR="00C10D3C">
        <w:rPr>
          <w:sz w:val="24"/>
        </w:rPr>
        <w:t>,</w:t>
      </w:r>
      <w:r w:rsidRPr="002A469C">
        <w:rPr>
          <w:sz w:val="24"/>
        </w:rPr>
        <w:t xml:space="preserve"> </w:t>
      </w:r>
    </w:p>
    <w:p w:rsidR="00385B00" w:rsidRPr="002A469C" w:rsidRDefault="00385B00" w:rsidP="00EF7C05">
      <w:pPr>
        <w:numPr>
          <w:ilvl w:val="4"/>
          <w:numId w:val="18"/>
        </w:numPr>
        <w:spacing w:after="0" w:line="240" w:lineRule="auto"/>
        <w:ind w:hanging="357"/>
        <w:jc w:val="both"/>
        <w:rPr>
          <w:sz w:val="24"/>
        </w:rPr>
      </w:pPr>
      <w:r w:rsidRPr="002A469C">
        <w:rPr>
          <w:sz w:val="24"/>
        </w:rPr>
        <w:t>budowę, zakup bud</w:t>
      </w:r>
      <w:r w:rsidR="00C10D3C">
        <w:rPr>
          <w:sz w:val="24"/>
        </w:rPr>
        <w:t>ynków lub lokali, zakup gruntów,</w:t>
      </w:r>
      <w:r w:rsidRPr="002A469C">
        <w:rPr>
          <w:sz w:val="24"/>
        </w:rPr>
        <w:t xml:space="preserve"> </w:t>
      </w:r>
    </w:p>
    <w:p w:rsidR="00385B00" w:rsidRPr="002A469C" w:rsidRDefault="00385B00" w:rsidP="00EF7C05">
      <w:pPr>
        <w:numPr>
          <w:ilvl w:val="4"/>
          <w:numId w:val="18"/>
        </w:numPr>
        <w:spacing w:after="0" w:line="240" w:lineRule="auto"/>
        <w:ind w:hanging="357"/>
        <w:jc w:val="both"/>
        <w:rPr>
          <w:sz w:val="24"/>
        </w:rPr>
      </w:pPr>
      <w:r w:rsidRPr="002A469C">
        <w:rPr>
          <w:sz w:val="24"/>
        </w:rPr>
        <w:t>wydatki związa</w:t>
      </w:r>
      <w:r w:rsidR="00C10D3C">
        <w:rPr>
          <w:sz w:val="24"/>
        </w:rPr>
        <w:t>ne z działalnością gospodarczą,</w:t>
      </w:r>
    </w:p>
    <w:p w:rsidR="00385B00" w:rsidRPr="002A469C" w:rsidRDefault="00385B00" w:rsidP="00EF7C05">
      <w:pPr>
        <w:numPr>
          <w:ilvl w:val="4"/>
          <w:numId w:val="18"/>
        </w:numPr>
        <w:spacing w:after="0" w:line="240" w:lineRule="auto"/>
        <w:ind w:hanging="357"/>
        <w:jc w:val="both"/>
        <w:rPr>
          <w:sz w:val="24"/>
        </w:rPr>
      </w:pPr>
      <w:r w:rsidRPr="002A469C">
        <w:rPr>
          <w:sz w:val="24"/>
        </w:rPr>
        <w:t>odsetki od zobowiązań ureg</w:t>
      </w:r>
      <w:r w:rsidR="00C10D3C">
        <w:rPr>
          <w:sz w:val="24"/>
        </w:rPr>
        <w:t>ulowanych po terminie płatności,</w:t>
      </w:r>
      <w:r w:rsidRPr="002A469C">
        <w:rPr>
          <w:sz w:val="24"/>
        </w:rPr>
        <w:t xml:space="preserve"> </w:t>
      </w:r>
    </w:p>
    <w:p w:rsidR="00385B00" w:rsidRPr="002A469C" w:rsidRDefault="00385B00" w:rsidP="00385B00">
      <w:pPr>
        <w:numPr>
          <w:ilvl w:val="4"/>
          <w:numId w:val="18"/>
        </w:numPr>
        <w:spacing w:before="100" w:beforeAutospacing="1" w:after="100" w:afterAutospacing="1" w:line="240" w:lineRule="auto"/>
        <w:jc w:val="both"/>
        <w:rPr>
          <w:sz w:val="24"/>
        </w:rPr>
      </w:pPr>
      <w:r w:rsidRPr="002A469C">
        <w:rPr>
          <w:sz w:val="24"/>
        </w:rPr>
        <w:t>koszty kar i grzywien, koszty egzekucji komorniczej i administracyjnej, a także koszty procesów sądowych oraz koszty real</w:t>
      </w:r>
      <w:r w:rsidR="00C10D3C">
        <w:rPr>
          <w:sz w:val="24"/>
        </w:rPr>
        <w:t>izacji ewentualnych postanowień,</w:t>
      </w:r>
      <w:r w:rsidRPr="002A469C">
        <w:rPr>
          <w:sz w:val="24"/>
        </w:rPr>
        <w:t xml:space="preserve"> </w:t>
      </w:r>
    </w:p>
    <w:p w:rsidR="00385B00" w:rsidRPr="002A469C" w:rsidRDefault="00385B00" w:rsidP="00385B00">
      <w:pPr>
        <w:numPr>
          <w:ilvl w:val="4"/>
          <w:numId w:val="18"/>
        </w:numPr>
        <w:spacing w:before="100" w:beforeAutospacing="1" w:after="100" w:afterAutospacing="1" w:line="240" w:lineRule="auto"/>
        <w:jc w:val="both"/>
        <w:rPr>
          <w:sz w:val="24"/>
        </w:rPr>
      </w:pPr>
      <w:r w:rsidRPr="002A469C">
        <w:rPr>
          <w:sz w:val="24"/>
        </w:rPr>
        <w:t>wydatki związane z umową leasingu, a w szczególności: podatek, marża finansującego, odsetki od refinansowania kosztów, koszty</w:t>
      </w:r>
      <w:r w:rsidR="00C10D3C">
        <w:rPr>
          <w:sz w:val="24"/>
        </w:rPr>
        <w:t xml:space="preserve"> ogólne, opłaty ubezpieczeniowe,</w:t>
      </w:r>
      <w:r w:rsidRPr="002A469C">
        <w:rPr>
          <w:sz w:val="24"/>
        </w:rPr>
        <w:t xml:space="preserve"> </w:t>
      </w:r>
    </w:p>
    <w:p w:rsidR="00385B00" w:rsidRPr="002A469C" w:rsidRDefault="00385B00" w:rsidP="00385B00">
      <w:pPr>
        <w:numPr>
          <w:ilvl w:val="4"/>
          <w:numId w:val="18"/>
        </w:numPr>
        <w:spacing w:before="100" w:beforeAutospacing="1" w:after="100" w:afterAutospacing="1" w:line="240" w:lineRule="auto"/>
        <w:jc w:val="both"/>
        <w:rPr>
          <w:sz w:val="24"/>
        </w:rPr>
      </w:pPr>
      <w:r w:rsidRPr="002A469C">
        <w:rPr>
          <w:sz w:val="24"/>
        </w:rPr>
        <w:t>odliczony podatek VAT.</w:t>
      </w:r>
    </w:p>
    <w:p w:rsidR="00385B00" w:rsidRPr="002A469C" w:rsidRDefault="00361621" w:rsidP="00385B00">
      <w:pPr>
        <w:widowControl w:val="0"/>
        <w:numPr>
          <w:ilvl w:val="0"/>
          <w:numId w:val="11"/>
        </w:numPr>
        <w:suppressAutoHyphens/>
        <w:autoSpaceDE w:val="0"/>
        <w:spacing w:after="0" w:line="240" w:lineRule="auto"/>
        <w:jc w:val="both"/>
        <w:rPr>
          <w:sz w:val="24"/>
        </w:rPr>
      </w:pPr>
      <w:r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385B00" w:rsidRPr="002A469C" w:rsidRDefault="00361621" w:rsidP="00385B00">
      <w:pPr>
        <w:widowControl w:val="0"/>
        <w:numPr>
          <w:ilvl w:val="0"/>
          <w:numId w:val="11"/>
        </w:numPr>
        <w:suppressAutoHyphens/>
        <w:autoSpaceDE w:val="0"/>
        <w:spacing w:after="0" w:line="240" w:lineRule="auto"/>
        <w:jc w:val="both"/>
        <w:rPr>
          <w:sz w:val="24"/>
        </w:rPr>
      </w:pPr>
      <w:r w:rsidRPr="002A469C">
        <w:rPr>
          <w:sz w:val="24"/>
        </w:rPr>
        <w:t>Wobec oferenta nie mogą być prowadzone egzekucje sądowe, administracyjne bądź zajęcia wierzytelności.</w:t>
      </w:r>
    </w:p>
    <w:p w:rsidR="00BC3B0D" w:rsidRPr="00673E66" w:rsidRDefault="00361621" w:rsidP="00673E66">
      <w:pPr>
        <w:pStyle w:val="Akapitzlist"/>
        <w:widowControl w:val="0"/>
        <w:numPr>
          <w:ilvl w:val="0"/>
          <w:numId w:val="11"/>
        </w:numPr>
        <w:suppressAutoHyphens/>
        <w:autoSpaceDE w:val="0"/>
        <w:spacing w:after="0" w:line="240" w:lineRule="auto"/>
        <w:jc w:val="both"/>
        <w:rPr>
          <w:sz w:val="24"/>
        </w:rPr>
      </w:pPr>
      <w:r w:rsidRPr="00673E66">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673E66">
        <w:rPr>
          <w:sz w:val="24"/>
        </w:rPr>
        <w:t>na bądź zajęcie wierzytelności.</w:t>
      </w:r>
    </w:p>
    <w:p w:rsidR="00E170B0" w:rsidRPr="00B366AC" w:rsidRDefault="00E170B0" w:rsidP="004C5F13">
      <w:pPr>
        <w:widowControl w:val="0"/>
        <w:suppressAutoHyphens/>
        <w:spacing w:after="0" w:line="240" w:lineRule="auto"/>
        <w:rPr>
          <w:color w:val="000000"/>
          <w:sz w:val="24"/>
          <w:lang w:eastAsia="en-US" w:bidi="en-US"/>
        </w:rPr>
      </w:pPr>
    </w:p>
    <w:p w:rsidR="005B4240" w:rsidRDefault="005D66D2" w:rsidP="00673E66">
      <w:pPr>
        <w:spacing w:after="0" w:line="240" w:lineRule="auto"/>
        <w:jc w:val="both"/>
        <w:rPr>
          <w:b/>
          <w:sz w:val="24"/>
          <w:lang w:eastAsia="en-US"/>
        </w:rPr>
      </w:pPr>
      <w:r>
        <w:rPr>
          <w:b/>
          <w:sz w:val="24"/>
          <w:lang w:eastAsia="en-US"/>
        </w:rPr>
        <w:t>Wymogi dotyczące kwalifikowalności p</w:t>
      </w:r>
      <w:r w:rsidR="005B4240" w:rsidRPr="00B366AC">
        <w:rPr>
          <w:b/>
          <w:sz w:val="24"/>
          <w:lang w:eastAsia="en-US"/>
        </w:rPr>
        <w:t>odatk</w:t>
      </w:r>
      <w:r>
        <w:rPr>
          <w:b/>
          <w:sz w:val="24"/>
          <w:lang w:eastAsia="en-US"/>
        </w:rPr>
        <w:t>u</w:t>
      </w:r>
      <w:r w:rsidR="005B4240" w:rsidRPr="00B366AC">
        <w:rPr>
          <w:b/>
          <w:sz w:val="24"/>
          <w:lang w:eastAsia="en-US"/>
        </w:rPr>
        <w:t xml:space="preserve"> od towarów i usług (VAT)</w:t>
      </w:r>
    </w:p>
    <w:p w:rsidR="005155E4" w:rsidRPr="00B366AC" w:rsidRDefault="005155E4" w:rsidP="00673E66">
      <w:pPr>
        <w:spacing w:after="0" w:line="240" w:lineRule="auto"/>
        <w:jc w:val="both"/>
        <w:rPr>
          <w:b/>
          <w:sz w:val="24"/>
          <w:lang w:eastAsia="en-US"/>
        </w:rPr>
      </w:pPr>
    </w:p>
    <w:p w:rsidR="005D66D2"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p>
    <w:p w:rsidR="005B4240" w:rsidRPr="00B366AC" w:rsidRDefault="005D66D2" w:rsidP="00673E66">
      <w:pPr>
        <w:spacing w:after="0" w:line="240" w:lineRule="auto"/>
        <w:contextualSpacing/>
        <w:jc w:val="both"/>
        <w:rPr>
          <w:sz w:val="24"/>
          <w:lang w:eastAsia="en-US"/>
        </w:rPr>
      </w:pPr>
      <w:r>
        <w:rPr>
          <w:sz w:val="24"/>
          <w:lang w:eastAsia="en-US"/>
        </w:rPr>
        <w:t>2.</w:t>
      </w:r>
      <w:r w:rsidR="00673E66">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5D66D2"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 xml:space="preserve">w ofercie. W takiej sytuacji realizator jest zobowiązany zapewnić przejrzysty system rozliczania </w:t>
      </w:r>
      <w:r w:rsidR="005B4240" w:rsidRPr="00B366AC">
        <w:rPr>
          <w:sz w:val="24"/>
          <w:lang w:eastAsia="en-US"/>
        </w:rPr>
        <w:lastRenderedPageBreak/>
        <w:t>zadania, tak aby nie było wątpliwości w jakiej części oraz w jakim zakresie VAT może być uznany za kwalifikowalny;</w:t>
      </w:r>
    </w:p>
    <w:p w:rsidR="005D66D2" w:rsidRDefault="005D66D2" w:rsidP="005D66D2">
      <w:pPr>
        <w:spacing w:after="0" w:line="240" w:lineRule="auto"/>
        <w:contextualSpacing/>
        <w:jc w:val="both"/>
        <w:rPr>
          <w:sz w:val="24"/>
          <w:lang w:eastAsia="en-US"/>
        </w:rPr>
      </w:pPr>
      <w:r>
        <w:rPr>
          <w:sz w:val="24"/>
          <w:lang w:eastAsia="en-US"/>
        </w:rPr>
        <w:t>4</w:t>
      </w:r>
      <w:r w:rsidR="00673E66">
        <w:rPr>
          <w:sz w:val="24"/>
          <w:lang w:eastAsia="en-US"/>
        </w:rPr>
        <w:t xml:space="preserve">. </w:t>
      </w:r>
      <w:r w:rsidR="005B4240" w:rsidRPr="00B366AC">
        <w:rPr>
          <w:sz w:val="24"/>
          <w:lang w:eastAsia="en-US"/>
        </w:rPr>
        <w:t>Zgodnie z art. 90 ust. 1 ustawy z dnia 11 marca 2004 r. o podatku od towarów i usług (</w:t>
      </w:r>
      <w:r w:rsidR="00D35B70">
        <w:rPr>
          <w:sz w:val="24"/>
          <w:lang w:eastAsia="en-US"/>
        </w:rPr>
        <w:t xml:space="preserve">t.j. </w:t>
      </w:r>
      <w:r w:rsidR="005B4240" w:rsidRPr="00B366AC">
        <w:rPr>
          <w:sz w:val="24"/>
          <w:lang w:eastAsia="en-US"/>
        </w:rPr>
        <w:t>Dz. U. z 20</w:t>
      </w:r>
      <w:r w:rsidR="008247BA">
        <w:rPr>
          <w:sz w:val="24"/>
          <w:lang w:eastAsia="en-US"/>
        </w:rPr>
        <w:t>20</w:t>
      </w:r>
      <w:r w:rsidR="005B4240" w:rsidRPr="00B366AC">
        <w:rPr>
          <w:sz w:val="24"/>
          <w:lang w:eastAsia="en-US"/>
        </w:rPr>
        <w:t xml:space="preserve"> r. poz. </w:t>
      </w:r>
      <w:r w:rsidR="008247BA">
        <w:rPr>
          <w:sz w:val="24"/>
          <w:lang w:eastAsia="en-US"/>
        </w:rPr>
        <w:t>106</w:t>
      </w:r>
      <w:r w:rsidR="005B4240" w:rsidRPr="00B366AC">
        <w:rPr>
          <w:sz w:val="24"/>
          <w:lang w:eastAsia="en-US"/>
        </w:rPr>
        <w:t>), w przypadku, gdy realizator zadania dokonuje zarówno transakcji zwolnionych, jak i transakcji opodatkowanych VAT, powinien on przyporządkować naliczony VAT odnośnie dokonywanych przez siebie zakupów do trzech grup:</w:t>
      </w:r>
      <w:r w:rsidR="00673E66">
        <w:rPr>
          <w:sz w:val="24"/>
          <w:lang w:eastAsia="en-US"/>
        </w:rPr>
        <w:t xml:space="preserve"> </w:t>
      </w:r>
    </w:p>
    <w:p w:rsidR="005D66D2" w:rsidRDefault="00673E66" w:rsidP="005D66D2">
      <w:pPr>
        <w:spacing w:after="0" w:line="240" w:lineRule="auto"/>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D66D2" w:rsidRDefault="005D66D2" w:rsidP="005D66D2">
      <w:pPr>
        <w:spacing w:after="0" w:line="240" w:lineRule="auto"/>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5D66D2" w:rsidP="005D66D2">
      <w:pPr>
        <w:spacing w:after="0" w:line="240" w:lineRule="auto"/>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Pr>
          <w:sz w:val="24"/>
          <w:lang w:eastAsia="en-US"/>
        </w:rPr>
        <w:t>o </w:t>
      </w:r>
      <w:r w:rsidR="005B4240" w:rsidRPr="00B366AC">
        <w:rPr>
          <w:sz w:val="24"/>
          <w:lang w:eastAsia="en-US"/>
        </w:rPr>
        <w:t>której mowa w art. 90 ustawy o VAT (w tym przypadku VAT może być wydatkiem kwalifikowalnym w ustalonej proporcji).</w:t>
      </w:r>
    </w:p>
    <w:p w:rsidR="005D66D2" w:rsidRDefault="005D66D2" w:rsidP="005D66D2">
      <w:pPr>
        <w:spacing w:after="0" w:line="240" w:lineRule="auto"/>
        <w:jc w:val="both"/>
        <w:rPr>
          <w:sz w:val="24"/>
          <w:lang w:eastAsia="en-US"/>
        </w:rPr>
      </w:pPr>
      <w:r>
        <w:rPr>
          <w:sz w:val="24"/>
          <w:lang w:eastAsia="en-US"/>
        </w:rPr>
        <w:t>5</w:t>
      </w:r>
      <w:r w:rsidR="00673E66">
        <w:rPr>
          <w:sz w:val="24"/>
          <w:lang w:eastAsia="en-US"/>
        </w:rPr>
        <w:t xml:space="preserve">. </w:t>
      </w:r>
      <w:r w:rsidRPr="004348BC">
        <w:rPr>
          <w:sz w:val="24"/>
          <w:lang w:eastAsia="en-US"/>
        </w:rPr>
        <w:t xml:space="preserve">Oferent, który zaliczy VAT do wydatków </w:t>
      </w:r>
      <w:r>
        <w:rPr>
          <w:sz w:val="24"/>
          <w:lang w:eastAsia="en-US"/>
        </w:rPr>
        <w:t>kwalifikowalnych będzie</w:t>
      </w:r>
      <w:r w:rsidRPr="004348BC">
        <w:rPr>
          <w:sz w:val="24"/>
          <w:lang w:eastAsia="en-US"/>
        </w:rPr>
        <w:t xml:space="preserve"> zobowiązany </w:t>
      </w:r>
      <w:r>
        <w:rPr>
          <w:sz w:val="24"/>
          <w:lang w:eastAsia="en-US"/>
        </w:rPr>
        <w:t xml:space="preserve">przy podpisywaniu umowy </w:t>
      </w:r>
      <w:r w:rsidRPr="004348BC">
        <w:rPr>
          <w:sz w:val="24"/>
          <w:lang w:eastAsia="en-US"/>
        </w:rPr>
        <w:t>do wypełnienia oświadczenia o kwalifikowalności VA</w:t>
      </w:r>
      <w:r>
        <w:rPr>
          <w:sz w:val="24"/>
          <w:lang w:eastAsia="en-US"/>
        </w:rPr>
        <w:t>T o następującej treści:</w:t>
      </w:r>
    </w:p>
    <w:p w:rsidR="005D66D2" w:rsidRDefault="005D66D2" w:rsidP="005D66D2">
      <w:pPr>
        <w:spacing w:after="0" w:line="240" w:lineRule="auto"/>
        <w:jc w:val="both"/>
        <w:rPr>
          <w:sz w:val="24"/>
          <w:lang w:eastAsia="en-US"/>
        </w:rPr>
      </w:pPr>
      <w:r w:rsidRPr="00500093">
        <w:rPr>
          <w:sz w:val="24"/>
          <w:lang w:eastAsia="en-US"/>
        </w:rPr>
        <w:t>„</w:t>
      </w:r>
      <w:r w:rsidRPr="00500093">
        <w:rPr>
          <w:sz w:val="24"/>
        </w:rPr>
        <w:t>W związku z przyznaniem...................................</w:t>
      </w:r>
      <w:r w:rsidRPr="00500093">
        <w:rPr>
          <w:i/>
          <w:iCs/>
          <w:sz w:val="24"/>
        </w:rPr>
        <w:t>(nazwa Oferenta oraz jego status prawny</w:t>
      </w:r>
      <w:r w:rsidRPr="00500093">
        <w:rPr>
          <w:sz w:val="24"/>
        </w:rPr>
        <w:t>) finansowania realizacji zadania z zakresu zdrowia publicznego na podstawie oferty.............................................</w:t>
      </w:r>
      <w:r w:rsidRPr="00500093">
        <w:rPr>
          <w:i/>
          <w:iCs/>
          <w:sz w:val="24"/>
        </w:rPr>
        <w:t xml:space="preserve">(tytuł  oferty), (nazwa Oferenta) .................. </w:t>
      </w:r>
      <w:r w:rsidRPr="00500093">
        <w:rPr>
          <w:sz w:val="24"/>
        </w:rPr>
        <w:t>oświadcza, iż realizując powyższą ofertę nie może</w:t>
      </w:r>
      <w:r w:rsidRPr="00500093">
        <w:rPr>
          <w:i/>
          <w:iCs/>
          <w:sz w:val="24"/>
        </w:rPr>
        <w:t xml:space="preserve"> </w:t>
      </w:r>
      <w:r w:rsidRPr="00500093">
        <w:rPr>
          <w:sz w:val="24"/>
        </w:rPr>
        <w:t>odzyskać w żaden sposób poniesionego kosztu podatku od towarów i usług, którego wysokość została zawarta w budżecie oferty. Jednocześnie</w:t>
      </w:r>
      <w:r w:rsidRPr="00500093">
        <w:rPr>
          <w:i/>
          <w:iCs/>
          <w:sz w:val="24"/>
        </w:rPr>
        <w:t xml:space="preserve">......................................(nazwa Oferenta)................. </w:t>
      </w:r>
      <w:r w:rsidRPr="0050009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500093">
        <w:rPr>
          <w:i/>
          <w:iCs/>
          <w:sz w:val="24"/>
        </w:rPr>
        <w:t xml:space="preserve">......................................(nazwa Oferenta)................. </w:t>
      </w:r>
      <w:r w:rsidRPr="00500093">
        <w:rPr>
          <w:sz w:val="24"/>
        </w:rPr>
        <w:t>.</w:t>
      </w:r>
    </w:p>
    <w:p w:rsidR="005D66D2" w:rsidRDefault="005D66D2" w:rsidP="005D66D2">
      <w:pPr>
        <w:spacing w:after="0" w:line="240" w:lineRule="auto"/>
        <w:jc w:val="both"/>
        <w:rPr>
          <w:sz w:val="24"/>
        </w:rPr>
      </w:pPr>
      <w:r w:rsidRPr="00500093">
        <w:rPr>
          <w:i/>
          <w:iCs/>
          <w:sz w:val="24"/>
        </w:rPr>
        <w:t xml:space="preserve">(nazwa Oferenta)................. </w:t>
      </w:r>
      <w:r w:rsidRPr="00500093">
        <w:rPr>
          <w:sz w:val="24"/>
        </w:rPr>
        <w:t>zobowiązuje się również do udostępniania dokumentacji finansowo-księgowej oraz udzielania uprawnionym organom kontrolnym informacji umożliwiających weryfikację kwalifikowalności podatku od towarów i usług.”</w:t>
      </w:r>
      <w:r>
        <w:rPr>
          <w:sz w:val="24"/>
        </w:rPr>
        <w:t>.</w:t>
      </w:r>
    </w:p>
    <w:p w:rsidR="005D66D2" w:rsidRDefault="005D66D2" w:rsidP="005D66D2">
      <w:pPr>
        <w:spacing w:after="0" w:line="240" w:lineRule="auto"/>
        <w:jc w:val="both"/>
        <w:rPr>
          <w:sz w:val="24"/>
        </w:rPr>
      </w:pPr>
    </w:p>
    <w:p w:rsidR="005D66D2" w:rsidRDefault="005D66D2" w:rsidP="005D66D2">
      <w:pPr>
        <w:spacing w:after="0" w:line="240" w:lineRule="auto"/>
        <w:jc w:val="both"/>
        <w:rPr>
          <w:b/>
          <w:sz w:val="24"/>
          <w:u w:val="single"/>
        </w:rPr>
      </w:pPr>
      <w:r w:rsidRPr="004348BC">
        <w:rPr>
          <w:b/>
          <w:sz w:val="24"/>
          <w:u w:val="single"/>
        </w:rPr>
        <w:t>Wyjaśnienie</w:t>
      </w:r>
    </w:p>
    <w:p w:rsidR="009D0B36" w:rsidRDefault="009D0B36" w:rsidP="005D66D2">
      <w:pPr>
        <w:spacing w:after="0" w:line="240" w:lineRule="auto"/>
        <w:jc w:val="both"/>
        <w:rPr>
          <w:b/>
          <w:sz w:val="24"/>
          <w:u w:val="single"/>
        </w:rPr>
      </w:pPr>
    </w:p>
    <w:p w:rsidR="005D66D2" w:rsidRPr="004348BC" w:rsidRDefault="005D66D2" w:rsidP="005D66D2">
      <w:pPr>
        <w:spacing w:after="0" w:line="240" w:lineRule="auto"/>
        <w:jc w:val="both"/>
        <w:rPr>
          <w:sz w:val="24"/>
          <w:lang w:eastAsia="en-US"/>
        </w:rPr>
      </w:pPr>
      <w:r w:rsidRPr="004348BC">
        <w:rPr>
          <w:sz w:val="24"/>
        </w:rPr>
        <w:t>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o podatku od towarów i usług (</w:t>
      </w:r>
      <w:r w:rsidRPr="004348BC">
        <w:rPr>
          <w:rStyle w:val="citation-line"/>
          <w:sz w:val="24"/>
        </w:rPr>
        <w:t>Dz.U. z 20</w:t>
      </w:r>
      <w:r w:rsidR="00DA39C9">
        <w:rPr>
          <w:rStyle w:val="citation-line"/>
          <w:sz w:val="24"/>
        </w:rPr>
        <w:t>20</w:t>
      </w:r>
      <w:r w:rsidRPr="004348BC">
        <w:rPr>
          <w:rStyle w:val="citation-line"/>
          <w:sz w:val="24"/>
        </w:rPr>
        <w:t xml:space="preserve"> r. poz. </w:t>
      </w:r>
      <w:r w:rsidR="00DA39C9">
        <w:rPr>
          <w:rStyle w:val="citation-line"/>
          <w:sz w:val="24"/>
        </w:rPr>
        <w:t>106</w:t>
      </w:r>
      <w:r w:rsidRPr="004348BC">
        <w:rPr>
          <w:rStyle w:val="citation-line"/>
          <w:sz w:val="24"/>
        </w:rPr>
        <w:t xml:space="preserve">) </w:t>
      </w:r>
      <w:r w:rsidRPr="004348BC">
        <w:rPr>
          <w:sz w:val="24"/>
        </w:rPr>
        <w:t>. Badanie możliwości odzyskania podatku VAT należy wyłącznie do obowiązków realizatora.</w:t>
      </w:r>
    </w:p>
    <w:p w:rsidR="005D66D2" w:rsidRDefault="005D66D2" w:rsidP="004C5F13">
      <w:pPr>
        <w:widowControl w:val="0"/>
        <w:suppressAutoHyphens/>
        <w:spacing w:after="0" w:line="240" w:lineRule="auto"/>
        <w:rPr>
          <w:b/>
          <w:bCs/>
          <w:color w:val="000000"/>
          <w:sz w:val="24"/>
          <w:lang w:eastAsia="en-US" w:bidi="en-US"/>
        </w:rPr>
      </w:pPr>
    </w:p>
    <w:p w:rsidR="004C5F13" w:rsidRPr="00513781" w:rsidRDefault="00914BBE" w:rsidP="00B366AC">
      <w:pPr>
        <w:widowControl w:val="0"/>
        <w:suppressAutoHyphens/>
        <w:spacing w:after="0" w:line="240" w:lineRule="auto"/>
        <w:rPr>
          <w:b/>
          <w:bCs/>
          <w:color w:val="000000"/>
          <w:sz w:val="24"/>
          <w:lang w:eastAsia="en-US" w:bidi="en-US"/>
        </w:rPr>
      </w:pPr>
      <w:r w:rsidRPr="002A469C">
        <w:rPr>
          <w:b/>
          <w:bCs/>
          <w:color w:val="000000"/>
          <w:sz w:val="24"/>
          <w:lang w:eastAsia="en-US" w:bidi="en-US"/>
        </w:rPr>
        <w:t xml:space="preserve">Kryteria oceny </w:t>
      </w:r>
      <w:r w:rsidR="004C5F13" w:rsidRPr="002A469C">
        <w:rPr>
          <w:b/>
          <w:bCs/>
          <w:color w:val="000000"/>
          <w:sz w:val="24"/>
          <w:lang w:eastAsia="en-US" w:bidi="en-US"/>
        </w:rPr>
        <w:t xml:space="preserve"> ofert</w:t>
      </w:r>
    </w:p>
    <w:p w:rsidR="004C5F13" w:rsidRPr="002A469C" w:rsidRDefault="004C5F13" w:rsidP="004C5F13">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 xml:space="preserve">Zasady oceny ofert zostały określone w </w:t>
      </w:r>
      <w:r w:rsidR="00EF7C05">
        <w:rPr>
          <w:color w:val="000000"/>
          <w:sz w:val="24"/>
          <w:lang w:eastAsia="en-US" w:bidi="en-US"/>
        </w:rPr>
        <w:t xml:space="preserve">regulaminie otwartego konkursu ofert, </w:t>
      </w:r>
      <w:r w:rsidRPr="002A469C">
        <w:rPr>
          <w:color w:val="000000"/>
          <w:sz w:val="24"/>
          <w:lang w:eastAsia="en-US" w:bidi="en-US"/>
        </w:rPr>
        <w:t>który stanowi  załąc</w:t>
      </w:r>
      <w:r w:rsidR="00914BBE" w:rsidRPr="002A469C">
        <w:rPr>
          <w:color w:val="000000"/>
          <w:sz w:val="24"/>
          <w:lang w:eastAsia="en-US" w:bidi="en-US"/>
        </w:rPr>
        <w:t>zni</w:t>
      </w:r>
      <w:r w:rsidR="00246F03">
        <w:rPr>
          <w:color w:val="000000"/>
          <w:sz w:val="24"/>
          <w:lang w:eastAsia="en-US" w:bidi="en-US"/>
        </w:rPr>
        <w:t>k nr 2 do zarządzenia nr</w:t>
      </w:r>
      <w:r w:rsidR="00DA39C9">
        <w:rPr>
          <w:color w:val="000000"/>
          <w:sz w:val="24"/>
          <w:lang w:eastAsia="en-US" w:bidi="en-US"/>
        </w:rPr>
        <w:t xml:space="preserve"> 166</w:t>
      </w:r>
      <w:r w:rsidR="00AC4AAB">
        <w:rPr>
          <w:color w:val="000000"/>
          <w:sz w:val="24"/>
          <w:lang w:eastAsia="en-US" w:bidi="en-US"/>
        </w:rPr>
        <w:t xml:space="preserve"> </w:t>
      </w:r>
      <w:r w:rsidRPr="002A469C">
        <w:rPr>
          <w:color w:val="000000"/>
          <w:sz w:val="24"/>
          <w:lang w:eastAsia="en-US" w:bidi="en-US"/>
        </w:rPr>
        <w:t>/20</w:t>
      </w:r>
      <w:r w:rsidR="00F56E3A">
        <w:rPr>
          <w:color w:val="000000"/>
          <w:sz w:val="24"/>
          <w:lang w:eastAsia="en-US" w:bidi="en-US"/>
        </w:rPr>
        <w:t>20</w:t>
      </w:r>
      <w:r w:rsidR="002A469C">
        <w:rPr>
          <w:color w:val="000000"/>
          <w:sz w:val="24"/>
          <w:lang w:eastAsia="en-US" w:bidi="en-US"/>
        </w:rPr>
        <w:t xml:space="preserve"> Prezydenta Miasta Świnoujście </w:t>
      </w:r>
      <w:r w:rsidR="00E170B0">
        <w:rPr>
          <w:color w:val="000000"/>
          <w:sz w:val="24"/>
          <w:lang w:eastAsia="en-US" w:bidi="en-US"/>
        </w:rPr>
        <w:t>z dnia</w:t>
      </w:r>
      <w:r w:rsidR="00EA1D8C">
        <w:rPr>
          <w:color w:val="000000"/>
          <w:sz w:val="24"/>
          <w:lang w:eastAsia="en-US" w:bidi="en-US"/>
        </w:rPr>
        <w:t xml:space="preserve"> </w:t>
      </w:r>
      <w:r w:rsidR="00DA39C9">
        <w:rPr>
          <w:color w:val="000000"/>
          <w:sz w:val="24"/>
          <w:lang w:eastAsia="en-US" w:bidi="en-US"/>
        </w:rPr>
        <w:t>5</w:t>
      </w:r>
      <w:r w:rsidR="00263EF9">
        <w:rPr>
          <w:color w:val="000000"/>
          <w:sz w:val="24"/>
          <w:lang w:eastAsia="en-US" w:bidi="en-US"/>
        </w:rPr>
        <w:t xml:space="preserve"> m</w:t>
      </w:r>
      <w:r w:rsidR="00EA1D8C">
        <w:rPr>
          <w:color w:val="000000"/>
          <w:sz w:val="24"/>
          <w:lang w:eastAsia="en-US" w:bidi="en-US"/>
        </w:rPr>
        <w:t>a</w:t>
      </w:r>
      <w:r w:rsidR="00263EF9">
        <w:rPr>
          <w:color w:val="000000"/>
          <w:sz w:val="24"/>
          <w:lang w:eastAsia="en-US" w:bidi="en-US"/>
        </w:rPr>
        <w:t>rca</w:t>
      </w:r>
      <w:r w:rsidR="00EA1D8C">
        <w:rPr>
          <w:color w:val="000000"/>
          <w:sz w:val="24"/>
          <w:lang w:eastAsia="en-US" w:bidi="en-US"/>
        </w:rPr>
        <w:t xml:space="preserve"> </w:t>
      </w:r>
      <w:r w:rsidR="00914BBE" w:rsidRPr="002A469C">
        <w:rPr>
          <w:color w:val="000000"/>
          <w:sz w:val="24"/>
          <w:lang w:eastAsia="en-US" w:bidi="en-US"/>
        </w:rPr>
        <w:t>20</w:t>
      </w:r>
      <w:r w:rsidR="00263EF9">
        <w:rPr>
          <w:color w:val="000000"/>
          <w:sz w:val="24"/>
          <w:lang w:eastAsia="en-US" w:bidi="en-US"/>
        </w:rPr>
        <w:t>20</w:t>
      </w:r>
      <w:r w:rsidR="00914BBE" w:rsidRPr="002A469C">
        <w:rPr>
          <w:color w:val="000000"/>
          <w:sz w:val="24"/>
          <w:lang w:eastAsia="en-US" w:bidi="en-US"/>
        </w:rPr>
        <w:t xml:space="preserve"> r.</w:t>
      </w:r>
      <w:r w:rsidRPr="002A469C">
        <w:rPr>
          <w:color w:val="000000"/>
          <w:sz w:val="24"/>
          <w:lang w:eastAsia="en-US" w:bidi="en-US"/>
        </w:rPr>
        <w:t xml:space="preserve"> w sprawie przeprowadzenia otwartego konkursu ofert na reali</w:t>
      </w:r>
      <w:r w:rsidR="00914BBE" w:rsidRPr="002A469C">
        <w:rPr>
          <w:color w:val="000000"/>
          <w:sz w:val="24"/>
          <w:lang w:eastAsia="en-US" w:bidi="en-US"/>
        </w:rPr>
        <w:t xml:space="preserve">zację zadania z zakresu </w:t>
      </w:r>
      <w:r w:rsidR="00914BBE" w:rsidRPr="002A469C">
        <w:rPr>
          <w:color w:val="000000"/>
          <w:sz w:val="24"/>
          <w:lang w:eastAsia="en-US" w:bidi="en-US"/>
        </w:rPr>
        <w:lastRenderedPageBreak/>
        <w:t>zdrowia publicznego</w:t>
      </w:r>
      <w:r w:rsidRPr="002A469C">
        <w:rPr>
          <w:color w:val="000000"/>
          <w:sz w:val="24"/>
          <w:lang w:eastAsia="en-US" w:bidi="en-US"/>
        </w:rPr>
        <w:t xml:space="preserve">. </w:t>
      </w:r>
    </w:p>
    <w:p w:rsidR="004C5F13" w:rsidRPr="002A469C" w:rsidRDefault="008247BA" w:rsidP="004C5F13">
      <w:pPr>
        <w:widowControl w:val="0"/>
        <w:suppressAutoHyphens/>
        <w:autoSpaceDE w:val="0"/>
        <w:spacing w:after="0" w:line="240" w:lineRule="auto"/>
        <w:rPr>
          <w:color w:val="000000"/>
          <w:sz w:val="24"/>
          <w:lang w:eastAsia="en-US" w:bidi="en-US"/>
        </w:rPr>
      </w:pPr>
      <w:r>
        <w:rPr>
          <w:color w:val="000000"/>
          <w:sz w:val="24"/>
          <w:lang w:eastAsia="en-US" w:bidi="en-US"/>
        </w:rPr>
        <w:t xml:space="preserve">2. </w:t>
      </w:r>
      <w:r w:rsidR="004C5F13" w:rsidRPr="002A469C">
        <w:rPr>
          <w:color w:val="000000"/>
          <w:sz w:val="24"/>
          <w:lang w:eastAsia="en-US" w:bidi="en-US"/>
        </w:rPr>
        <w:t>Zgodnie z § 5 i § 6 regulaminu konkursu:</w:t>
      </w:r>
    </w:p>
    <w:p w:rsidR="004C5F13" w:rsidRPr="002A469C" w:rsidRDefault="004C5F13" w:rsidP="002A469C">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1) Ocena formalna ofert dokonywana jest przez członków Komisji poprzez wypełnienie formularza stanowiącego załącznik nr 1 do regulaminu konkursu.</w:t>
      </w:r>
    </w:p>
    <w:p w:rsidR="00B53A1A" w:rsidRDefault="004C5F13" w:rsidP="00B53A1A">
      <w:pPr>
        <w:widowControl w:val="0"/>
        <w:suppressAutoHyphens/>
        <w:autoSpaceDE w:val="0"/>
        <w:spacing w:after="0" w:line="240" w:lineRule="auto"/>
        <w:jc w:val="both"/>
        <w:rPr>
          <w:rFonts w:eastAsia="Lucida Sans Unicode"/>
          <w:color w:val="000000"/>
          <w:sz w:val="24"/>
          <w:lang w:eastAsia="en-US" w:bidi="en-US"/>
        </w:rPr>
      </w:pPr>
      <w:r w:rsidRPr="002A469C">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a) </w:t>
      </w:r>
      <w:r w:rsidR="005C6CAC" w:rsidRPr="002A469C">
        <w:rPr>
          <w:rFonts w:eastAsia="Lucida Sans Unicode"/>
          <w:color w:val="000000"/>
          <w:sz w:val="24"/>
          <w:lang w:eastAsia="en-US" w:bidi="en-US"/>
        </w:rPr>
        <w:t>zakres rzeczowy realizacji zadania do 3</w:t>
      </w:r>
      <w:r w:rsidR="005C6CAC">
        <w:rPr>
          <w:rFonts w:eastAsia="Lucida Sans Unicode"/>
          <w:color w:val="000000"/>
          <w:sz w:val="24"/>
          <w:lang w:eastAsia="en-US" w:bidi="en-US"/>
        </w:rPr>
        <w:t>5</w:t>
      </w:r>
      <w:r w:rsidR="005C6CAC" w:rsidRPr="002A469C">
        <w:rPr>
          <w:rFonts w:eastAsia="Lucida Sans Unicode"/>
          <w:color w:val="000000"/>
          <w:sz w:val="24"/>
          <w:lang w:eastAsia="en-US" w:bidi="en-US"/>
        </w:rPr>
        <w:t xml:space="preserve"> punktów,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b) </w:t>
      </w:r>
      <w:r w:rsidR="005C6CAC" w:rsidRPr="002A469C">
        <w:rPr>
          <w:rFonts w:eastAsia="Lucida Sans Unicode"/>
          <w:color w:val="000000"/>
          <w:sz w:val="24"/>
          <w:lang w:eastAsia="en-US" w:bidi="en-US"/>
        </w:rPr>
        <w:t>kalkulacje kosztów realizacji zadania, w tym  w odniesieniu do zakresu rzeczowego zadania do</w:t>
      </w:r>
      <w:r w:rsidR="00DA39C9">
        <w:rPr>
          <w:rFonts w:eastAsia="Lucida Sans Unicode"/>
          <w:color w:val="000000"/>
          <w:sz w:val="24"/>
          <w:lang w:eastAsia="en-US" w:bidi="en-US"/>
        </w:rPr>
        <w:t> </w:t>
      </w:r>
      <w:r w:rsidR="005C6CAC" w:rsidRPr="002A469C">
        <w:rPr>
          <w:rFonts w:eastAsia="Lucida Sans Unicode"/>
          <w:color w:val="000000"/>
          <w:sz w:val="24"/>
          <w:lang w:eastAsia="en-US" w:bidi="en-US"/>
        </w:rPr>
        <w:t xml:space="preserve">20 punktów,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c) </w:t>
      </w:r>
      <w:r w:rsidR="005C6CAC" w:rsidRPr="002A469C">
        <w:rPr>
          <w:rFonts w:eastAsia="Lucida Sans Unicode"/>
          <w:color w:val="000000"/>
          <w:sz w:val="24"/>
          <w:lang w:eastAsia="en-US" w:bidi="en-US"/>
        </w:rPr>
        <w:t xml:space="preserve">jakość wykonania zadania i kwalifikacje osób realizujących zadanie do 30 punktów,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d) </w:t>
      </w:r>
      <w:r w:rsidR="005C6CAC" w:rsidRPr="002A469C">
        <w:rPr>
          <w:rFonts w:eastAsia="Lucida Sans Unicode"/>
          <w:color w:val="000000"/>
          <w:sz w:val="24"/>
          <w:lang w:eastAsia="en-US" w:bidi="en-US"/>
        </w:rPr>
        <w:t xml:space="preserve">udział środków finansowych </w:t>
      </w:r>
      <w:r w:rsidR="00DA39C9">
        <w:rPr>
          <w:rFonts w:eastAsia="Lucida Sans Unicode"/>
          <w:color w:val="000000"/>
          <w:sz w:val="24"/>
          <w:lang w:eastAsia="en-US" w:bidi="en-US"/>
        </w:rPr>
        <w:t xml:space="preserve">własnych </w:t>
      </w:r>
      <w:r w:rsidR="005C6CAC" w:rsidRPr="002A469C">
        <w:rPr>
          <w:rFonts w:eastAsia="Lucida Sans Unicode"/>
          <w:color w:val="000000"/>
          <w:sz w:val="24"/>
          <w:lang w:eastAsia="en-US" w:bidi="en-US"/>
        </w:rPr>
        <w:t xml:space="preserve">albo pozyskanych z  innych źródeł na realizację zadania do </w:t>
      </w:r>
      <w:r w:rsidR="005C6CAC">
        <w:rPr>
          <w:rFonts w:eastAsia="Lucida Sans Unicode"/>
          <w:color w:val="000000"/>
          <w:sz w:val="24"/>
          <w:lang w:eastAsia="en-US" w:bidi="en-US"/>
        </w:rPr>
        <w:t>5</w:t>
      </w:r>
      <w:r w:rsidR="005C6CAC" w:rsidRPr="002A469C">
        <w:rPr>
          <w:rFonts w:eastAsia="Lucida Sans Unicode"/>
          <w:color w:val="000000"/>
          <w:sz w:val="24"/>
          <w:lang w:eastAsia="en-US" w:bidi="en-US"/>
        </w:rPr>
        <w:t xml:space="preserve"> punktów,</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e) </w:t>
      </w:r>
      <w:r w:rsidR="005C6CAC" w:rsidRPr="002A469C">
        <w:rPr>
          <w:rFonts w:eastAsia="Lucida Sans Unicode"/>
          <w:color w:val="000000"/>
          <w:sz w:val="24"/>
          <w:lang w:eastAsia="en-US" w:bidi="en-US"/>
        </w:rPr>
        <w:t>wkład rzeczowy, osobowy, w tym świadczenia wolontariuszy i pracę społeczną członków do</w:t>
      </w:r>
      <w:r w:rsidR="00DA39C9">
        <w:rPr>
          <w:rFonts w:eastAsia="Lucida Sans Unicode"/>
          <w:color w:val="000000"/>
          <w:sz w:val="24"/>
          <w:lang w:eastAsia="en-US" w:bidi="en-US"/>
        </w:rPr>
        <w:t> </w:t>
      </w:r>
      <w:r w:rsidR="005C6CAC" w:rsidRPr="002A469C">
        <w:rPr>
          <w:rFonts w:eastAsia="Lucida Sans Unicode"/>
          <w:color w:val="000000"/>
          <w:sz w:val="24"/>
          <w:lang w:eastAsia="en-US" w:bidi="en-US"/>
        </w:rPr>
        <w:t>5</w:t>
      </w:r>
      <w:r w:rsidR="00DA39C9">
        <w:rPr>
          <w:rFonts w:eastAsia="Lucida Sans Unicode"/>
          <w:color w:val="000000"/>
          <w:sz w:val="24"/>
          <w:lang w:eastAsia="en-US" w:bidi="en-US"/>
        </w:rPr>
        <w:t> </w:t>
      </w:r>
      <w:r w:rsidR="005C6CAC" w:rsidRPr="002A469C">
        <w:rPr>
          <w:rFonts w:eastAsia="Lucida Sans Unicode"/>
          <w:color w:val="000000"/>
          <w:sz w:val="24"/>
          <w:lang w:eastAsia="en-US" w:bidi="en-US"/>
        </w:rPr>
        <w:t>punktów,</w:t>
      </w:r>
    </w:p>
    <w:p w:rsidR="005C6CAC" w:rsidRPr="00E17E33"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f) </w:t>
      </w:r>
      <w:r w:rsidR="005C6CAC" w:rsidRPr="002A469C">
        <w:rPr>
          <w:rFonts w:eastAsia="Lucida Sans Unicode"/>
          <w:color w:val="000000"/>
          <w:sz w:val="24"/>
          <w:lang w:eastAsia="en-US" w:bidi="en-US"/>
        </w:rPr>
        <w:t>realizacje zleconych zadań publicznych w przypadku podmiotów uprawnionych, które</w:t>
      </w:r>
      <w:r w:rsidR="005C6CAC">
        <w:rPr>
          <w:rFonts w:eastAsia="Lucida Sans Unicode"/>
          <w:color w:val="000000"/>
          <w:sz w:val="24"/>
          <w:lang w:eastAsia="en-US" w:bidi="en-US"/>
        </w:rPr>
        <w:t xml:space="preserve"> </w:t>
      </w:r>
      <w:r w:rsidR="005C6CAC" w:rsidRPr="00915CF4">
        <w:rPr>
          <w:rFonts w:eastAsia="Lucida Sans Unicode"/>
          <w:color w:val="000000"/>
          <w:sz w:val="24"/>
          <w:lang w:eastAsia="en-US" w:bidi="en-US"/>
        </w:rPr>
        <w:t xml:space="preserve">w latach poprzednich realizowały zlecone zadanie publiczne biorąc pod uwagę  rzetelność, terminowość oraz sposób rozliczenia otrzymanych środków do 5 </w:t>
      </w:r>
      <w:r w:rsidR="005C6CAC" w:rsidRPr="00E17E33">
        <w:rPr>
          <w:rFonts w:eastAsia="Lucida Sans Unicode"/>
          <w:color w:val="000000"/>
          <w:sz w:val="24"/>
          <w:lang w:eastAsia="en-US" w:bidi="en-US"/>
        </w:rPr>
        <w:t xml:space="preserve">punktów. </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punktów możliwych do uzyskania,  nie  otrzymają pozytywnej opinii  do  dofinansowania.</w:t>
      </w:r>
    </w:p>
    <w:p w:rsidR="00B53A1A" w:rsidRDefault="00673E66" w:rsidP="00B53A1A">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 xml:space="preserve">Na podstawie zbiorczych formularzy oceny ofert tworzy się listę zaopiniowanych ofert  </w:t>
      </w:r>
      <w:r>
        <w:rPr>
          <w:sz w:val="24"/>
          <w:lang w:eastAsia="ar-SA"/>
        </w:rPr>
        <w:t xml:space="preserve">   </w:t>
      </w:r>
      <w:r w:rsidR="00E17E33" w:rsidRPr="00E17E33">
        <w:rPr>
          <w:sz w:val="24"/>
          <w:lang w:eastAsia="ar-SA"/>
        </w:rPr>
        <w:t>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r w:rsidR="00914BBE" w:rsidRPr="00E17E33">
        <w:rPr>
          <w:sz w:val="24"/>
        </w:rPr>
        <w:t xml:space="preserve"> Dofinansowanie uzyskują oferty o największej liczbie punktów, aż do wyc</w:t>
      </w:r>
      <w:r w:rsidR="004C7E08" w:rsidRPr="00E17E33">
        <w:rPr>
          <w:sz w:val="24"/>
        </w:rPr>
        <w:t>zerpania środków.</w:t>
      </w:r>
    </w:p>
    <w:p w:rsidR="00B53A1A" w:rsidRDefault="00B53A1A" w:rsidP="00B53A1A">
      <w:pPr>
        <w:widowControl w:val="0"/>
        <w:suppressAutoHyphens/>
        <w:spacing w:after="0" w:line="240" w:lineRule="auto"/>
        <w:jc w:val="both"/>
        <w:rPr>
          <w:color w:val="000000"/>
          <w:sz w:val="24"/>
          <w:lang w:eastAsia="en-US" w:bidi="en-US"/>
        </w:rPr>
      </w:pPr>
      <w:r>
        <w:rPr>
          <w:color w:val="000000"/>
          <w:sz w:val="24"/>
          <w:lang w:eastAsia="en-US" w:bidi="en-US"/>
        </w:rPr>
        <w:t>6) </w:t>
      </w:r>
      <w:r w:rsidR="00E53ED3" w:rsidRPr="00E17E33">
        <w:rPr>
          <w:sz w:val="24"/>
          <w:lang w:eastAsia="en-US" w:bidi="en-US"/>
        </w:rPr>
        <w:t>W przypadku przyznania dofinansowania w kwocie mniejszej niż wnioskowana, Oferent w</w:t>
      </w:r>
      <w:r w:rsidR="00DA39C9">
        <w:rPr>
          <w:sz w:val="24"/>
          <w:lang w:eastAsia="en-US" w:bidi="en-US"/>
        </w:rPr>
        <w:t> </w:t>
      </w:r>
      <w:r w:rsidR="00E53ED3" w:rsidRPr="00E17E33">
        <w:rPr>
          <w:sz w:val="24"/>
          <w:lang w:eastAsia="en-US" w:bidi="en-US"/>
        </w:rPr>
        <w:t>wyznaczonym terminie będzie zobowiązany do przedstawienia korekty kalkulacji przewidywanych kosztów realizacji zadania oraz korekty harmonogramu realizacji zadania.</w:t>
      </w:r>
    </w:p>
    <w:p w:rsidR="00B53A1A" w:rsidRPr="00B53A1A" w:rsidRDefault="00B53A1A" w:rsidP="00B53A1A">
      <w:pPr>
        <w:widowControl w:val="0"/>
        <w:suppressAutoHyphens/>
        <w:spacing w:after="0" w:line="240" w:lineRule="auto"/>
        <w:jc w:val="both"/>
        <w:rPr>
          <w:color w:val="000000"/>
          <w:sz w:val="24"/>
          <w:lang w:eastAsia="en-US" w:bidi="en-US"/>
        </w:rPr>
      </w:pPr>
      <w:r>
        <w:rPr>
          <w:color w:val="000000"/>
          <w:sz w:val="24"/>
          <w:lang w:eastAsia="en-US" w:bidi="en-US"/>
        </w:rPr>
        <w:t>7) </w:t>
      </w:r>
      <w:r w:rsidR="00E53ED3" w:rsidRPr="00B53A1A">
        <w:rPr>
          <w:sz w:val="24"/>
          <w:lang w:eastAsia="en-US" w:bidi="en-US"/>
        </w:rPr>
        <w:t>Nieprzedłożenie wymaganych dokumentów, wskazanych w pkt. 6 w wyznaczonym terminie, traktowane będzie jako rezygnacja z przyznanej dotacji.</w:t>
      </w:r>
    </w:p>
    <w:p w:rsidR="003935C8" w:rsidRPr="00B53A1A" w:rsidRDefault="00B53A1A" w:rsidP="00B53A1A">
      <w:pPr>
        <w:widowControl w:val="0"/>
        <w:suppressAutoHyphens/>
        <w:spacing w:after="0" w:line="240" w:lineRule="auto"/>
        <w:jc w:val="both"/>
        <w:rPr>
          <w:color w:val="000000"/>
          <w:sz w:val="24"/>
          <w:lang w:eastAsia="en-US" w:bidi="en-US"/>
        </w:rPr>
      </w:pPr>
      <w:r w:rsidRPr="00B53A1A">
        <w:rPr>
          <w:color w:val="000000"/>
          <w:sz w:val="24"/>
          <w:lang w:eastAsia="en-US" w:bidi="en-US"/>
        </w:rPr>
        <w:t>8) </w:t>
      </w:r>
      <w:r w:rsidR="003935C8" w:rsidRPr="00B53A1A">
        <w:rPr>
          <w:sz w:val="24"/>
        </w:rPr>
        <w:t>Konkurs ofert zostaje unieważniony jeżeli:</w:t>
      </w:r>
    </w:p>
    <w:p w:rsidR="004C7E08" w:rsidRPr="00B53A1A" w:rsidRDefault="004C7E08" w:rsidP="002A469C">
      <w:pPr>
        <w:numPr>
          <w:ilvl w:val="0"/>
          <w:numId w:val="22"/>
        </w:numPr>
        <w:spacing w:after="0" w:line="240" w:lineRule="auto"/>
        <w:ind w:hanging="357"/>
        <w:rPr>
          <w:sz w:val="24"/>
        </w:rPr>
      </w:pPr>
      <w:r w:rsidRPr="00B53A1A">
        <w:rPr>
          <w:sz w:val="24"/>
        </w:rPr>
        <w:t xml:space="preserve">nie złożono żadnej oferty; </w:t>
      </w:r>
    </w:p>
    <w:p w:rsidR="004C7E08" w:rsidRPr="00B53A1A" w:rsidRDefault="004C7E08" w:rsidP="002A469C">
      <w:pPr>
        <w:numPr>
          <w:ilvl w:val="0"/>
          <w:numId w:val="22"/>
        </w:numPr>
        <w:spacing w:after="0" w:line="240" w:lineRule="auto"/>
        <w:ind w:hanging="357"/>
        <w:rPr>
          <w:sz w:val="24"/>
        </w:rPr>
      </w:pPr>
      <w:r w:rsidRPr="00B53A1A">
        <w:rPr>
          <w:sz w:val="24"/>
        </w:rPr>
        <w:t xml:space="preserve">żadna ze złożonych ofert nie spełniała wymogów zawartych w ogłoszeniu. </w:t>
      </w:r>
    </w:p>
    <w:p w:rsidR="004C5F13" w:rsidRPr="00B53A1A" w:rsidRDefault="004C5F13" w:rsidP="004C5F13">
      <w:pPr>
        <w:widowControl w:val="0"/>
        <w:suppressAutoHyphens/>
        <w:autoSpaceDE w:val="0"/>
        <w:spacing w:after="0" w:line="240" w:lineRule="auto"/>
        <w:jc w:val="both"/>
        <w:rPr>
          <w:b/>
          <w:bCs/>
          <w:color w:val="000000"/>
          <w:sz w:val="24"/>
          <w:lang w:eastAsia="en-US" w:bidi="en-US"/>
        </w:rPr>
      </w:pPr>
    </w:p>
    <w:p w:rsidR="004C5F13" w:rsidRPr="00513781" w:rsidRDefault="0067237F" w:rsidP="004C5F13">
      <w:pPr>
        <w:widowControl w:val="0"/>
        <w:suppressAutoHyphens/>
        <w:autoSpaceDE w:val="0"/>
        <w:spacing w:after="0" w:line="240" w:lineRule="auto"/>
        <w:jc w:val="both"/>
        <w:rPr>
          <w:color w:val="000000"/>
          <w:sz w:val="24"/>
          <w:lang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4C5F13" w:rsidRPr="002A469C" w:rsidRDefault="004C5F13" w:rsidP="004C5F13">
      <w:pPr>
        <w:widowControl w:val="0"/>
        <w:tabs>
          <w:tab w:val="left" w:pos="360"/>
        </w:tabs>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Oferty na realizację zadania z zakr</w:t>
      </w:r>
      <w:r w:rsidR="003D64D0" w:rsidRPr="002A469C">
        <w:rPr>
          <w:color w:val="000000"/>
          <w:sz w:val="24"/>
          <w:lang w:eastAsia="en-US" w:bidi="en-US"/>
        </w:rPr>
        <w:t xml:space="preserve">esu  zdrowia publicznego </w:t>
      </w:r>
      <w:r w:rsidRPr="002A469C">
        <w:rPr>
          <w:color w:val="000000"/>
          <w:sz w:val="24"/>
          <w:lang w:eastAsia="en-US" w:bidi="en-US"/>
        </w:rPr>
        <w:t xml:space="preserve"> należy składać w  Biurze Obsługi Interesanta  Urzędu Miasta Świnoujście, przy ul. Wojska Polskiego  1/5, parter,  </w:t>
      </w:r>
      <w:r w:rsidR="00246F03">
        <w:rPr>
          <w:b/>
          <w:bCs/>
          <w:color w:val="000000"/>
          <w:sz w:val="24"/>
          <w:lang w:eastAsia="en-US" w:bidi="en-US"/>
        </w:rPr>
        <w:t xml:space="preserve">w terminie do dnia </w:t>
      </w:r>
      <w:r w:rsidR="00463CDE">
        <w:rPr>
          <w:b/>
          <w:bCs/>
          <w:color w:val="000000"/>
          <w:sz w:val="24"/>
          <w:lang w:eastAsia="en-US" w:bidi="en-US"/>
        </w:rPr>
        <w:t>16 marca</w:t>
      </w:r>
      <w:r w:rsidR="00211CFD">
        <w:rPr>
          <w:b/>
          <w:bCs/>
          <w:color w:val="000000"/>
          <w:sz w:val="24"/>
          <w:lang w:eastAsia="en-US" w:bidi="en-US"/>
        </w:rPr>
        <w:t xml:space="preserve"> </w:t>
      </w:r>
      <w:r w:rsidRPr="002A469C">
        <w:rPr>
          <w:b/>
          <w:bCs/>
          <w:color w:val="000000"/>
          <w:sz w:val="24"/>
          <w:lang w:eastAsia="en-US" w:bidi="en-US"/>
        </w:rPr>
        <w:t>20</w:t>
      </w:r>
      <w:r w:rsidR="00463CDE">
        <w:rPr>
          <w:b/>
          <w:bCs/>
          <w:color w:val="000000"/>
          <w:sz w:val="24"/>
          <w:lang w:eastAsia="en-US" w:bidi="en-US"/>
        </w:rPr>
        <w:t>20</w:t>
      </w:r>
      <w:r w:rsidRPr="002A469C">
        <w:rPr>
          <w:b/>
          <w:bCs/>
          <w:color w:val="000000"/>
          <w:sz w:val="24"/>
          <w:lang w:eastAsia="en-US" w:bidi="en-US"/>
        </w:rPr>
        <w:t xml:space="preserve"> r</w:t>
      </w:r>
      <w:r w:rsidRPr="002A469C">
        <w:rPr>
          <w:color w:val="000000"/>
          <w:sz w:val="24"/>
          <w:lang w:eastAsia="en-US" w:bidi="en-US"/>
        </w:rPr>
        <w:t>.  (decyduje data  wpływu do Urzędu Miasta Świnoujście)</w:t>
      </w:r>
      <w:r w:rsidR="00937CD1">
        <w:rPr>
          <w:color w:val="000000"/>
          <w:sz w:val="24"/>
          <w:lang w:eastAsia="en-US" w:bidi="en-US"/>
        </w:rPr>
        <w:t>.</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2.</w:t>
      </w:r>
      <w:r w:rsidRPr="002A469C">
        <w:rPr>
          <w:color w:val="000000"/>
          <w:sz w:val="24"/>
          <w:lang w:eastAsia="en-US" w:bidi="en-US"/>
        </w:rPr>
        <w:tab/>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t>
      </w:r>
      <w:r w:rsidR="003935C8" w:rsidRPr="002A469C">
        <w:rPr>
          <w:color w:val="000000"/>
          <w:sz w:val="24"/>
          <w:lang w:eastAsia="en-US" w:bidi="en-US"/>
        </w:rPr>
        <w:t xml:space="preserve"> </w:t>
      </w:r>
      <w:r w:rsidR="00C50E86" w:rsidRPr="002A469C">
        <w:rPr>
          <w:color w:val="000000"/>
          <w:sz w:val="24"/>
          <w:lang w:eastAsia="en-US" w:bidi="en-US"/>
        </w:rPr>
        <w:t xml:space="preserve">w </w:t>
      </w:r>
      <w:r w:rsidR="003935C8" w:rsidRPr="002A469C">
        <w:rPr>
          <w:color w:val="000000"/>
          <w:sz w:val="24"/>
          <w:lang w:eastAsia="en-US" w:bidi="en-US"/>
        </w:rPr>
        <w:t xml:space="preserve"> 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3935C8" w:rsidRPr="002A469C">
        <w:rPr>
          <w:color w:val="000000"/>
          <w:sz w:val="24"/>
          <w:lang w:eastAsia="en-US" w:bidi="en-US"/>
        </w:rPr>
        <w:t xml:space="preserve">do zarządzenia nr </w:t>
      </w:r>
      <w:r w:rsidR="00B065F9">
        <w:rPr>
          <w:color w:val="000000"/>
          <w:sz w:val="24"/>
          <w:lang w:eastAsia="en-US" w:bidi="en-US"/>
        </w:rPr>
        <w:t xml:space="preserve"> </w:t>
      </w:r>
      <w:r w:rsidR="00DA39C9">
        <w:rPr>
          <w:color w:val="000000"/>
          <w:sz w:val="24"/>
          <w:lang w:eastAsia="en-US" w:bidi="en-US"/>
        </w:rPr>
        <w:t>166/</w:t>
      </w:r>
      <w:r w:rsidR="003935C8" w:rsidRPr="002A469C">
        <w:rPr>
          <w:color w:val="000000"/>
          <w:sz w:val="24"/>
          <w:lang w:eastAsia="en-US" w:bidi="en-US"/>
        </w:rPr>
        <w:t>20</w:t>
      </w:r>
      <w:r w:rsidR="00463CDE">
        <w:rPr>
          <w:color w:val="000000"/>
          <w:sz w:val="24"/>
          <w:lang w:eastAsia="en-US" w:bidi="en-US"/>
        </w:rPr>
        <w:t>20</w:t>
      </w:r>
      <w:r w:rsidR="003935C8" w:rsidRPr="002A469C">
        <w:rPr>
          <w:color w:val="000000"/>
          <w:sz w:val="24"/>
          <w:lang w:eastAsia="en-US" w:bidi="en-US"/>
        </w:rPr>
        <w:t xml:space="preserve"> </w:t>
      </w:r>
      <w:r w:rsidR="00056EAD">
        <w:rPr>
          <w:color w:val="000000"/>
          <w:sz w:val="24"/>
          <w:lang w:eastAsia="en-US" w:bidi="en-US"/>
        </w:rPr>
        <w:t xml:space="preserve">Prezydenta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DA39C9">
        <w:rPr>
          <w:color w:val="000000"/>
          <w:sz w:val="24"/>
          <w:lang w:eastAsia="en-US" w:bidi="en-US"/>
        </w:rPr>
        <w:t xml:space="preserve">5 </w:t>
      </w:r>
      <w:r w:rsidR="00463CDE">
        <w:rPr>
          <w:color w:val="000000"/>
          <w:sz w:val="24"/>
          <w:lang w:eastAsia="en-US" w:bidi="en-US"/>
        </w:rPr>
        <w:t>marca 2020</w:t>
      </w:r>
      <w:r w:rsidR="006F48F0">
        <w:rPr>
          <w:color w:val="000000"/>
          <w:sz w:val="24"/>
          <w:lang w:eastAsia="en-US" w:bidi="en-US"/>
        </w:rPr>
        <w:t xml:space="preserve"> r.</w:t>
      </w:r>
      <w:r w:rsidR="003935C8"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41B2C" w:rsidRPr="006F5A08">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244200" w:rsidRPr="006F5A08">
        <w:rPr>
          <w:sz w:val="24"/>
        </w:rPr>
        <w:t xml:space="preserve">dnia </w:t>
      </w:r>
      <w:r w:rsidR="0094524D">
        <w:rPr>
          <w:sz w:val="24"/>
        </w:rPr>
        <w:t>2</w:t>
      </w:r>
      <w:r w:rsidR="00B53A1A">
        <w:rPr>
          <w:sz w:val="24"/>
        </w:rPr>
        <w:t>3 marca</w:t>
      </w:r>
      <w:r w:rsidR="00244200" w:rsidRPr="006F5A08">
        <w:rPr>
          <w:sz w:val="24"/>
        </w:rPr>
        <w:t xml:space="preserve"> 20</w:t>
      </w:r>
      <w:r w:rsidR="00B53A1A">
        <w:rPr>
          <w:sz w:val="24"/>
        </w:rPr>
        <w:t>20</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 xml:space="preserve">Termin i sposób ogłoszenia wyników konkursu ofert.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63306D" w:rsidRPr="006F5A08" w:rsidRDefault="0063306D" w:rsidP="0063306D">
      <w:pPr>
        <w:spacing w:after="0" w:line="240" w:lineRule="auto"/>
        <w:jc w:val="both"/>
        <w:rPr>
          <w:sz w:val="24"/>
        </w:rPr>
      </w:pPr>
    </w:p>
    <w:p w:rsidR="00F41B2C" w:rsidRPr="006F5A08" w:rsidRDefault="00F41B2C" w:rsidP="001A63AC">
      <w:pPr>
        <w:spacing w:after="0" w:line="240" w:lineRule="auto"/>
        <w:jc w:val="both"/>
        <w:rPr>
          <w:sz w:val="24"/>
        </w:rPr>
      </w:pPr>
      <w:r w:rsidRPr="006F5A08">
        <w:rPr>
          <w:b/>
          <w:bCs/>
          <w:sz w:val="24"/>
        </w:rPr>
        <w:lastRenderedPageBreak/>
        <w:t xml:space="preserve">Sposób odwołania się od rozstrzygnięcia konkursu ofert. </w:t>
      </w:r>
    </w:p>
    <w:p w:rsidR="00080E38" w:rsidRPr="006F5A08" w:rsidRDefault="00080E38" w:rsidP="00697E39">
      <w:pPr>
        <w:numPr>
          <w:ilvl w:val="0"/>
          <w:numId w:val="24"/>
        </w:numPr>
        <w:spacing w:after="0" w:line="240" w:lineRule="auto"/>
        <w:ind w:left="357" w:hanging="357"/>
        <w:jc w:val="both"/>
        <w:rPr>
          <w:sz w:val="24"/>
        </w:rPr>
      </w:pPr>
      <w:r w:rsidRPr="006F5A08">
        <w:rPr>
          <w:sz w:val="24"/>
        </w:rPr>
        <w:t>Od wyników oceny formalnej nie przysługuje odwołanie.</w:t>
      </w:r>
    </w:p>
    <w:p w:rsidR="00080E38" w:rsidRPr="006F5A08" w:rsidRDefault="00EA27A1" w:rsidP="00697E39">
      <w:pPr>
        <w:numPr>
          <w:ilvl w:val="0"/>
          <w:numId w:val="24"/>
        </w:numPr>
        <w:spacing w:after="0" w:line="240" w:lineRule="auto"/>
        <w:ind w:left="357" w:hanging="357"/>
        <w:jc w:val="both"/>
        <w:rPr>
          <w:sz w:val="24"/>
        </w:rPr>
      </w:pPr>
      <w:r>
        <w:rPr>
          <w:sz w:val="24"/>
        </w:rPr>
        <w:t>Oferent może wnieść do K</w:t>
      </w:r>
      <w:r w:rsidR="00080E38" w:rsidRPr="006F5A08">
        <w:rPr>
          <w:sz w:val="24"/>
        </w:rPr>
        <w:t xml:space="preserve">omisji odwołanie od wyników konkursu ofert, </w:t>
      </w:r>
      <w:r w:rsidR="00080E38" w:rsidRPr="006F5A08">
        <w:rPr>
          <w:sz w:val="24"/>
        </w:rPr>
        <w:br/>
        <w:t xml:space="preserve">w formie pisemnej, w terminie </w:t>
      </w:r>
      <w:r w:rsidR="004533E9" w:rsidRPr="006F5A08">
        <w:rPr>
          <w:sz w:val="24"/>
        </w:rPr>
        <w:t>2</w:t>
      </w:r>
      <w:r w:rsidR="00080E38" w:rsidRPr="006F5A08">
        <w:rPr>
          <w:sz w:val="24"/>
        </w:rPr>
        <w:t xml:space="preserve"> dni od dnia ogłoszenia wyniku konkursu ofert. </w:t>
      </w:r>
      <w:r w:rsidR="00080E38" w:rsidRPr="006F5A08">
        <w:rPr>
          <w:sz w:val="24"/>
        </w:rPr>
        <w:br/>
        <w:t xml:space="preserve">O przyjęciu odwołania decyduje dzień jego wpływu do </w:t>
      </w:r>
      <w:r w:rsidR="00FD5AFB">
        <w:rPr>
          <w:sz w:val="24"/>
        </w:rPr>
        <w:t>Biura</w:t>
      </w:r>
      <w:r w:rsidR="00080E38" w:rsidRPr="006F5A08">
        <w:rPr>
          <w:sz w:val="24"/>
        </w:rPr>
        <w:t xml:space="preserve"> Obsługi Interesant</w:t>
      </w:r>
      <w:r w:rsidR="00A32CB2">
        <w:rPr>
          <w:sz w:val="24"/>
        </w:rPr>
        <w:t>a</w:t>
      </w:r>
      <w:r w:rsidR="00080E38" w:rsidRPr="006F5A08">
        <w:rPr>
          <w:sz w:val="24"/>
        </w:rPr>
        <w:t xml:space="preserve"> Urzędu Miasta Świnoujście.</w:t>
      </w:r>
    </w:p>
    <w:p w:rsidR="00080E38" w:rsidRPr="006F5A08" w:rsidRDefault="00080E38" w:rsidP="00697E39">
      <w:pPr>
        <w:numPr>
          <w:ilvl w:val="0"/>
          <w:numId w:val="24"/>
        </w:numPr>
        <w:spacing w:after="0" w:line="240" w:lineRule="auto"/>
        <w:ind w:left="357" w:hanging="357"/>
        <w:jc w:val="both"/>
        <w:rPr>
          <w:sz w:val="24"/>
        </w:rPr>
      </w:pPr>
      <w:r w:rsidRPr="006F5A08">
        <w:rPr>
          <w:sz w:val="24"/>
        </w:rPr>
        <w:t>Odwołanie może zostać złożone jedynie w formie pisemnej. Odwołanie nie może zostać</w:t>
      </w:r>
      <w:r w:rsidRPr="006F5A08">
        <w:rPr>
          <w:sz w:val="24"/>
        </w:rPr>
        <w:br/>
        <w:t>złożone tylko za pośrednictwem faksu. Wniesienie odwołania jedynie za pomocą faksu</w:t>
      </w:r>
      <w:r w:rsidRPr="006F5A08">
        <w:rPr>
          <w:sz w:val="24"/>
        </w:rPr>
        <w:br/>
        <w:t>skutkuje pozostawieniem go bez rozpatrzenia, gdyż forma ta nie spełnia warunków</w:t>
      </w:r>
      <w:r w:rsidRPr="006F5A08">
        <w:rPr>
          <w:sz w:val="24"/>
        </w:rPr>
        <w:br/>
        <w:t>opisanych w art. 78 Kodeksu cywilnego koniecznych dla zachowania pisemnej formy</w:t>
      </w:r>
      <w:r w:rsidRPr="006F5A08">
        <w:rPr>
          <w:sz w:val="24"/>
        </w:rPr>
        <w:br/>
        <w:t xml:space="preserve">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w:t>
      </w:r>
      <w:r w:rsidRPr="006F5A08">
        <w:rPr>
          <w:sz w:val="24"/>
        </w:rPr>
        <w:br/>
        <w:t>z uwzględnieniem wpływu do Stanowiska Obsługi Interesantów Urzędu Miasta Świnoujście. środka odwoławczego w formie pisemnej.</w:t>
      </w:r>
    </w:p>
    <w:p w:rsidR="00080E38" w:rsidRPr="006F5A08" w:rsidRDefault="00080E38" w:rsidP="00697E39">
      <w:pPr>
        <w:numPr>
          <w:ilvl w:val="0"/>
          <w:numId w:val="24"/>
        </w:numPr>
        <w:spacing w:after="0" w:line="240" w:lineRule="auto"/>
        <w:ind w:left="357" w:hanging="357"/>
        <w:jc w:val="both"/>
        <w:rPr>
          <w:sz w:val="24"/>
        </w:rPr>
      </w:pPr>
      <w:r w:rsidRPr="006F5A08">
        <w:rPr>
          <w:sz w:val="24"/>
        </w:rPr>
        <w:t>Wniesienie odwołania wstrz</w:t>
      </w:r>
      <w:r w:rsidR="001C2F33">
        <w:rPr>
          <w:sz w:val="24"/>
        </w:rPr>
        <w:t xml:space="preserve">ymuje dalsze czynności związane z </w:t>
      </w:r>
      <w:r w:rsidRPr="006F5A08">
        <w:rPr>
          <w:sz w:val="24"/>
        </w:rPr>
        <w:t>zawarciem umów</w:t>
      </w:r>
      <w:r w:rsidR="00DA39C9">
        <w:rPr>
          <w:sz w:val="24"/>
        </w:rPr>
        <w:t xml:space="preserve"> </w:t>
      </w:r>
      <w:r w:rsidRPr="006F5A08">
        <w:rPr>
          <w:sz w:val="24"/>
        </w:rPr>
        <w:t>z</w:t>
      </w:r>
      <w:r w:rsidR="00DA39C9">
        <w:rPr>
          <w:sz w:val="24"/>
        </w:rPr>
        <w:t> </w:t>
      </w:r>
      <w:r w:rsidRPr="006F5A08">
        <w:rPr>
          <w:sz w:val="24"/>
        </w:rPr>
        <w:t xml:space="preserve">poszczególnymi oferentami do czasu jego rozpatrzenia. </w:t>
      </w:r>
    </w:p>
    <w:p w:rsidR="00080E38" w:rsidRPr="006F5A08" w:rsidRDefault="00080E38" w:rsidP="00697E39">
      <w:pPr>
        <w:numPr>
          <w:ilvl w:val="0"/>
          <w:numId w:val="24"/>
        </w:numPr>
        <w:spacing w:after="0" w:line="240" w:lineRule="auto"/>
        <w:ind w:left="357" w:hanging="357"/>
        <w:jc w:val="both"/>
        <w:rPr>
          <w:sz w:val="24"/>
        </w:rPr>
      </w:pPr>
      <w:r w:rsidRPr="006F5A08">
        <w:rPr>
          <w:sz w:val="24"/>
        </w:rPr>
        <w:t xml:space="preserve">Komisja rozpatruje wszystkie odwołania niezwłocznie podając uzasadnienie rozstrzygnięcia. </w:t>
      </w:r>
      <w:r w:rsidRPr="006F5A08">
        <w:rPr>
          <w:sz w:val="24"/>
        </w:rPr>
        <w:br/>
      </w:r>
      <w:r w:rsidR="00AD024A" w:rsidRPr="006F5A08">
        <w:rPr>
          <w:sz w:val="24"/>
        </w:rPr>
        <w:t>Komisja</w:t>
      </w:r>
      <w:r w:rsidRPr="006F5A08">
        <w:rPr>
          <w:sz w:val="24"/>
        </w:rPr>
        <w:t xml:space="preserve"> jest z</w:t>
      </w:r>
      <w:r w:rsidR="00AD024A" w:rsidRPr="006F5A08">
        <w:rPr>
          <w:sz w:val="24"/>
        </w:rPr>
        <w:t>wiązana zakresem odwołania, tzn.</w:t>
      </w:r>
      <w:r w:rsidRPr="006F5A08">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6F5A08" w:rsidRDefault="00080E38" w:rsidP="00697E39">
      <w:pPr>
        <w:numPr>
          <w:ilvl w:val="0"/>
          <w:numId w:val="24"/>
        </w:numPr>
        <w:spacing w:after="0" w:line="240" w:lineRule="auto"/>
        <w:ind w:left="357" w:hanging="357"/>
        <w:jc w:val="both"/>
        <w:rPr>
          <w:sz w:val="24"/>
        </w:rPr>
      </w:pPr>
      <w:r w:rsidRPr="006F5A08">
        <w:rPr>
          <w:sz w:val="24"/>
        </w:rPr>
        <w:t>K</w:t>
      </w:r>
      <w:r w:rsidR="0076054F" w:rsidRPr="006F5A08">
        <w:rPr>
          <w:sz w:val="24"/>
        </w:rPr>
        <w:t>omisja składa Prezydentowi Miasta Świnoujście, za pośred</w:t>
      </w:r>
      <w:r w:rsidR="00AD024A" w:rsidRPr="006F5A08">
        <w:rPr>
          <w:sz w:val="24"/>
        </w:rPr>
        <w:t>nictwem Przewodniczącej</w:t>
      </w:r>
      <w:r w:rsidRPr="006F5A08">
        <w:rPr>
          <w:sz w:val="24"/>
        </w:rPr>
        <w:t xml:space="preserve"> wniosek o rozstrzygnięcie odwołania przez: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contextualSpacing/>
        <w:jc w:val="both"/>
        <w:rPr>
          <w:sz w:val="24"/>
        </w:rPr>
      </w:pPr>
      <w:r w:rsidRPr="006F5A08">
        <w:rPr>
          <w:sz w:val="24"/>
        </w:rPr>
        <w:t>częściowe uwzględnie</w:t>
      </w:r>
      <w:r w:rsidR="00AD024A" w:rsidRPr="006F5A08">
        <w:rPr>
          <w:sz w:val="24"/>
        </w:rPr>
        <w:t>nie odwołania</w:t>
      </w:r>
      <w:r w:rsidRPr="006F5A08">
        <w:rPr>
          <w:sz w:val="24"/>
        </w:rPr>
        <w:t xml:space="preserve">,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jc w:val="both"/>
        <w:rPr>
          <w:sz w:val="24"/>
        </w:rPr>
      </w:pPr>
      <w:r w:rsidRPr="006F5A08">
        <w:rPr>
          <w:sz w:val="24"/>
        </w:rPr>
        <w:t>odrzucenie odwołania, które wpłynęło po terminie lub nie pochodzi od oferenta.</w:t>
      </w:r>
    </w:p>
    <w:p w:rsidR="008473E0" w:rsidRPr="006F5A08" w:rsidRDefault="00080E38" w:rsidP="00697E39">
      <w:pPr>
        <w:numPr>
          <w:ilvl w:val="0"/>
          <w:numId w:val="24"/>
        </w:numPr>
        <w:spacing w:after="0" w:line="240" w:lineRule="auto"/>
        <w:ind w:left="357" w:hanging="357"/>
        <w:jc w:val="both"/>
        <w:rPr>
          <w:sz w:val="24"/>
        </w:rPr>
      </w:pPr>
      <w:r w:rsidRPr="006F5A08">
        <w:rPr>
          <w:sz w:val="24"/>
        </w:rPr>
        <w:t>Niezwłocznie po uzyskaniu akceptacji wniosku, o którym mowa w ust. 6, oferenci zostaną poinformowani o sposobie rozstrzygnięcia odwołania.</w:t>
      </w:r>
    </w:p>
    <w:p w:rsidR="00080E38" w:rsidRDefault="00080E38" w:rsidP="001A63AC">
      <w:pPr>
        <w:spacing w:after="0" w:line="240" w:lineRule="auto"/>
        <w:jc w:val="both"/>
        <w:rPr>
          <w:b/>
          <w:bCs/>
          <w:sz w:val="24"/>
        </w:rPr>
      </w:pPr>
    </w:p>
    <w:p w:rsidR="0067237F" w:rsidRDefault="0067237F" w:rsidP="001A63AC">
      <w:pPr>
        <w:spacing w:after="0" w:line="240" w:lineRule="auto"/>
        <w:jc w:val="both"/>
        <w:rPr>
          <w:b/>
          <w:bCs/>
          <w:sz w:val="24"/>
        </w:rPr>
      </w:pPr>
    </w:p>
    <w:p w:rsidR="004B231B" w:rsidRPr="004348BC" w:rsidRDefault="004B231B" w:rsidP="004B231B">
      <w:pPr>
        <w:spacing w:after="0" w:line="240" w:lineRule="auto"/>
        <w:jc w:val="both"/>
        <w:rPr>
          <w:sz w:val="24"/>
        </w:rPr>
      </w:pPr>
      <w:r w:rsidRPr="004348BC">
        <w:rPr>
          <w:b/>
          <w:bCs/>
          <w:sz w:val="24"/>
        </w:rPr>
        <w:t xml:space="preserve">Poziom i sposób obliczania minimalnego współfinansowania zadania. </w:t>
      </w:r>
      <w:r w:rsidRPr="004348BC">
        <w:rPr>
          <w:sz w:val="24"/>
        </w:rPr>
        <w:t xml:space="preserve"> </w:t>
      </w:r>
    </w:p>
    <w:p w:rsidR="004B231B" w:rsidRPr="004348BC" w:rsidRDefault="004B231B" w:rsidP="004B231B">
      <w:pPr>
        <w:spacing w:after="0" w:line="240" w:lineRule="auto"/>
        <w:jc w:val="both"/>
        <w:rPr>
          <w:b/>
          <w:bCs/>
          <w:sz w:val="24"/>
        </w:rPr>
      </w:pPr>
      <w:r w:rsidRPr="004348BC">
        <w:rPr>
          <w:bCs/>
          <w:color w:val="000000"/>
          <w:sz w:val="24"/>
          <w:lang w:eastAsia="en-US" w:bidi="en-US"/>
        </w:rPr>
        <w:t>Nie dotyczy  - zadania w całości  pokrywane ze środków publicznych.</w:t>
      </w:r>
    </w:p>
    <w:p w:rsidR="004B231B" w:rsidRDefault="004B231B" w:rsidP="001A63AC">
      <w:pPr>
        <w:spacing w:after="0" w:line="240" w:lineRule="auto"/>
        <w:jc w:val="both"/>
        <w:rPr>
          <w:b/>
          <w:bCs/>
          <w:sz w:val="24"/>
        </w:rPr>
      </w:pPr>
    </w:p>
    <w:p w:rsidR="0067237F" w:rsidRDefault="0067237F" w:rsidP="0067237F">
      <w:pPr>
        <w:spacing w:after="0" w:line="240" w:lineRule="auto"/>
        <w:jc w:val="both"/>
        <w:rPr>
          <w:b/>
          <w:bCs/>
          <w:sz w:val="24"/>
        </w:rPr>
      </w:pPr>
      <w:r w:rsidRPr="0067237F">
        <w:rPr>
          <w:b/>
          <w:bCs/>
          <w:sz w:val="24"/>
        </w:rPr>
        <w:t xml:space="preserve">Wykaz dokumentów, które należy dołączyć do oferty. </w:t>
      </w:r>
    </w:p>
    <w:p w:rsidR="0067237F" w:rsidRPr="0067237F" w:rsidRDefault="0067237F" w:rsidP="0067237F">
      <w:pPr>
        <w:spacing w:after="0" w:line="240" w:lineRule="auto"/>
        <w:jc w:val="both"/>
        <w:rPr>
          <w:sz w:val="24"/>
        </w:rPr>
      </w:pPr>
    </w:p>
    <w:p w:rsidR="0067237F" w:rsidRPr="0067237F" w:rsidRDefault="0067237F" w:rsidP="0067237F">
      <w:pPr>
        <w:numPr>
          <w:ilvl w:val="0"/>
          <w:numId w:val="31"/>
        </w:numPr>
        <w:spacing w:after="0" w:line="240" w:lineRule="auto"/>
        <w:jc w:val="both"/>
        <w:rPr>
          <w:sz w:val="24"/>
        </w:rPr>
      </w:pPr>
      <w:r w:rsidRPr="0067237F">
        <w:rPr>
          <w:b/>
          <w:sz w:val="24"/>
        </w:rPr>
        <w:t xml:space="preserve">Oświadczenie </w:t>
      </w:r>
      <w:r w:rsidRPr="0067237F">
        <w:rPr>
          <w:sz w:val="24"/>
        </w:rPr>
        <w:t xml:space="preserve">potwierdzające, że w stosunku do podmiotu składającego ofertę nie stwierdzono niezgodnego z przeznaczeniem wykorzystania środków </w:t>
      </w:r>
      <w:r w:rsidRPr="0067237F">
        <w:rPr>
          <w:iCs/>
          <w:sz w:val="24"/>
        </w:rPr>
        <w:t>publicznych</w:t>
      </w:r>
      <w:r w:rsidRPr="0067237F">
        <w:rPr>
          <w:sz w:val="24"/>
        </w:rPr>
        <w:t>*;</w:t>
      </w:r>
    </w:p>
    <w:p w:rsidR="0067237F" w:rsidRPr="0067237F" w:rsidRDefault="0067237F" w:rsidP="0067237F">
      <w:pPr>
        <w:numPr>
          <w:ilvl w:val="0"/>
          <w:numId w:val="31"/>
        </w:numPr>
        <w:spacing w:after="0" w:line="240" w:lineRule="auto"/>
        <w:jc w:val="both"/>
        <w:rPr>
          <w:sz w:val="24"/>
        </w:rPr>
      </w:pPr>
      <w:r w:rsidRPr="0067237F">
        <w:rPr>
          <w:b/>
          <w:sz w:val="24"/>
        </w:rPr>
        <w:t xml:space="preserve">Oświadczenie </w:t>
      </w:r>
      <w:r w:rsidRPr="0067237F">
        <w:rPr>
          <w:sz w:val="24"/>
        </w:rPr>
        <w:t xml:space="preserve">osoby uprawnionej do reprezentowania podmiotu składającego ofertę o niekaralności zakazem pełnienia funkcji związanych z dysponowaniem środkami </w:t>
      </w:r>
      <w:r w:rsidRPr="0067237F">
        <w:rPr>
          <w:iCs/>
          <w:sz w:val="24"/>
        </w:rPr>
        <w:t>publicznymi</w:t>
      </w:r>
      <w:r w:rsidRPr="0067237F">
        <w:rPr>
          <w:sz w:val="24"/>
        </w:rPr>
        <w:t xml:space="preserve"> oraz niekaralności za umyślne przestępstwo lub umyślne przestępstwo skarbowe*;</w:t>
      </w:r>
    </w:p>
    <w:p w:rsidR="0067237F" w:rsidRPr="0067237F" w:rsidRDefault="0067237F" w:rsidP="0067237F">
      <w:pPr>
        <w:numPr>
          <w:ilvl w:val="0"/>
          <w:numId w:val="31"/>
        </w:numPr>
        <w:spacing w:after="0" w:line="240" w:lineRule="auto"/>
        <w:jc w:val="both"/>
        <w:rPr>
          <w:sz w:val="24"/>
        </w:rPr>
      </w:pPr>
      <w:r w:rsidRPr="0067237F">
        <w:rPr>
          <w:b/>
          <w:sz w:val="24"/>
        </w:rPr>
        <w:t>Oświadczenie</w:t>
      </w:r>
      <w:r w:rsidRPr="0067237F">
        <w:rPr>
          <w:sz w:val="24"/>
        </w:rPr>
        <w:t>, że podmiot składający ofertę jest jedynym posiadaczem rachunku, na który zostaną przekazane środki, i zobowiązuje się go utrzymywać do chwili zaakceptowania rozliczenia tych środków pod względem finansowym i rzeczowym, i prowadzona przez podmiot którego działalność umożliwia realizację zadania  ogłoszonego w konkursie*;</w:t>
      </w:r>
    </w:p>
    <w:p w:rsidR="0067237F" w:rsidRPr="0067237F" w:rsidRDefault="0067237F" w:rsidP="0067237F">
      <w:pPr>
        <w:numPr>
          <w:ilvl w:val="0"/>
          <w:numId w:val="31"/>
        </w:numPr>
        <w:spacing w:after="0" w:line="240" w:lineRule="auto"/>
        <w:jc w:val="both"/>
        <w:rPr>
          <w:sz w:val="24"/>
        </w:rPr>
      </w:pPr>
      <w:r w:rsidRPr="0067237F">
        <w:rPr>
          <w:b/>
          <w:sz w:val="24"/>
        </w:rPr>
        <w:t xml:space="preserve">Oświadczenie </w:t>
      </w:r>
      <w:r w:rsidRPr="0067237F">
        <w:rPr>
          <w:sz w:val="24"/>
        </w:rPr>
        <w:t>osoby upoważnionej do reprezentacji podmiotu składającego ofertę wskazujące, że kwota środków przeznaczona zostanie na realizację zadania zgodnie z ofertą i że w tym zakresie zadanie nie będzie finansowane z innych źródeł*.</w:t>
      </w:r>
    </w:p>
    <w:p w:rsidR="0067237F" w:rsidRPr="0067237F" w:rsidRDefault="0067237F" w:rsidP="0067237F">
      <w:pPr>
        <w:numPr>
          <w:ilvl w:val="0"/>
          <w:numId w:val="31"/>
        </w:numPr>
        <w:spacing w:after="0" w:line="240" w:lineRule="auto"/>
        <w:jc w:val="both"/>
        <w:rPr>
          <w:sz w:val="24"/>
        </w:rPr>
      </w:pPr>
      <w:r w:rsidRPr="0067237F">
        <w:rPr>
          <w:sz w:val="24"/>
        </w:rPr>
        <w:t>Aktualny odpis z odpowiedniego rejestru lub inne dokumenty informujące o statusie prawnym podmiotu składającego ofertę i umocowanie osób go reprezentujących.</w:t>
      </w:r>
    </w:p>
    <w:p w:rsidR="0067237F" w:rsidRPr="0067237F" w:rsidRDefault="0067237F" w:rsidP="0067237F">
      <w:pPr>
        <w:widowControl w:val="0"/>
        <w:suppressAutoHyphens/>
        <w:spacing w:after="0" w:line="240" w:lineRule="auto"/>
        <w:ind w:left="284"/>
        <w:jc w:val="both"/>
        <w:textAlignment w:val="baseline"/>
        <w:rPr>
          <w:rFonts w:eastAsia="Lucida Sans Unicode"/>
          <w:bCs/>
          <w:color w:val="000000"/>
          <w:kern w:val="1"/>
          <w:sz w:val="24"/>
          <w:lang w:eastAsia="en-US" w:bidi="en-US"/>
        </w:rPr>
      </w:pPr>
    </w:p>
    <w:p w:rsidR="0067237F" w:rsidRPr="0067237F" w:rsidRDefault="0067237F" w:rsidP="0067237F">
      <w:pPr>
        <w:widowControl w:val="0"/>
        <w:suppressAutoHyphens/>
        <w:spacing w:after="0" w:line="240" w:lineRule="auto"/>
        <w:jc w:val="both"/>
        <w:textAlignment w:val="baseline"/>
        <w:rPr>
          <w:rFonts w:eastAsia="Lucida Sans Unicode"/>
          <w:bCs/>
          <w:color w:val="000000"/>
          <w:kern w:val="1"/>
          <w:sz w:val="24"/>
          <w:lang w:eastAsia="en-US" w:bidi="en-US"/>
        </w:rPr>
      </w:pPr>
      <w:r w:rsidRPr="0067237F">
        <w:rPr>
          <w:rFonts w:eastAsia="Lucida Sans Unicode"/>
          <w:b/>
          <w:bCs/>
          <w:color w:val="000000"/>
          <w:kern w:val="1"/>
          <w:sz w:val="24"/>
          <w:lang w:eastAsia="en-US" w:bidi="en-US"/>
        </w:rPr>
        <w:t>*Pouczenie</w:t>
      </w:r>
      <w:r w:rsidRPr="0067237F">
        <w:rPr>
          <w:rFonts w:eastAsia="Lucida Sans Unicode"/>
          <w:bCs/>
          <w:color w:val="000000"/>
          <w:kern w:val="1"/>
          <w:sz w:val="24"/>
          <w:lang w:eastAsia="en-US" w:bidi="en-US"/>
        </w:rPr>
        <w:t xml:space="preserve">: Składający oświadczenia jest obowiązany do zawarcia w nich klauzuli następującej </w:t>
      </w:r>
      <w:r w:rsidRPr="0067237F">
        <w:rPr>
          <w:rFonts w:eastAsia="Lucida Sans Unicode"/>
          <w:bCs/>
          <w:color w:val="000000"/>
          <w:kern w:val="1"/>
          <w:sz w:val="24"/>
          <w:lang w:eastAsia="en-US" w:bidi="en-US"/>
        </w:rPr>
        <w:lastRenderedPageBreak/>
        <w:t>treści: „</w:t>
      </w:r>
      <w:r w:rsidRPr="0067237F">
        <w:rPr>
          <w:rFonts w:eastAsia="Lucida Sans Unicode"/>
          <w:bCs/>
          <w:i/>
          <w:color w:val="000000"/>
          <w:kern w:val="1"/>
          <w:sz w:val="24"/>
          <w:lang w:eastAsia="en-US" w:bidi="en-US"/>
        </w:rPr>
        <w:t>Jestem świadomy odpowiedzialności karnej za złożenie fałszywego oświadczenia”.</w:t>
      </w:r>
      <w:r w:rsidRPr="0067237F">
        <w:rPr>
          <w:rFonts w:eastAsia="Lucida Sans Unicode"/>
          <w:bCs/>
          <w:color w:val="000000"/>
          <w:kern w:val="1"/>
          <w:sz w:val="24"/>
          <w:lang w:eastAsia="en-US" w:bidi="en-US"/>
        </w:rPr>
        <w:t xml:space="preserve"> Klauzula ta zastępuje pouczenie organu o odpowiedzialności karnej za składanie fałszywych zeznań. – podstawa art. 17 ust 4 ustawy z dnia 11 września 2015 r. o zdrowiu publicznym </w:t>
      </w:r>
      <w:r w:rsidRPr="0067237F">
        <w:rPr>
          <w:rFonts w:eastAsia="Lucida Sans Unicode"/>
          <w:color w:val="000000"/>
          <w:kern w:val="1"/>
          <w:sz w:val="24"/>
          <w:lang w:val="en-US" w:eastAsia="ar-SA" w:bidi="en-US"/>
        </w:rPr>
        <w:t>(Dz. U. z 2019 r. poz. 2365).</w:t>
      </w:r>
    </w:p>
    <w:p w:rsidR="0067237F" w:rsidRPr="0067237F" w:rsidRDefault="0067237F" w:rsidP="0067237F">
      <w:pPr>
        <w:spacing w:after="0" w:line="240" w:lineRule="auto"/>
        <w:jc w:val="both"/>
        <w:rPr>
          <w:sz w:val="24"/>
        </w:rPr>
      </w:pPr>
    </w:p>
    <w:p w:rsidR="0067237F" w:rsidRPr="0067237F" w:rsidRDefault="0067237F" w:rsidP="0067237F">
      <w:pPr>
        <w:widowControl w:val="0"/>
        <w:autoSpaceDE w:val="0"/>
        <w:autoSpaceDN w:val="0"/>
        <w:adjustRightInd w:val="0"/>
        <w:spacing w:after="0" w:line="240" w:lineRule="auto"/>
        <w:jc w:val="both"/>
        <w:rPr>
          <w:b/>
          <w:bCs/>
          <w:sz w:val="24"/>
        </w:rPr>
      </w:pPr>
      <w:r w:rsidRPr="0067237F">
        <w:rPr>
          <w:b/>
          <w:bCs/>
          <w:sz w:val="24"/>
        </w:rPr>
        <w:t>Informacja o możliwości odwołania konkursu ofert przed upływem terminu na złożenie ofert oraz możliwości przedłużenia terminu złożenia ofert i terminu rozstrzygnięcia konkursu ofert.</w:t>
      </w:r>
    </w:p>
    <w:p w:rsidR="009D0B36" w:rsidRDefault="009D0B36" w:rsidP="0067237F">
      <w:pPr>
        <w:widowControl w:val="0"/>
        <w:suppressAutoHyphens/>
        <w:autoSpaceDE w:val="0"/>
        <w:spacing w:after="0" w:line="240" w:lineRule="auto"/>
        <w:jc w:val="both"/>
        <w:rPr>
          <w:sz w:val="24"/>
        </w:rPr>
      </w:pPr>
    </w:p>
    <w:p w:rsidR="0067237F" w:rsidRPr="0067237F" w:rsidRDefault="0067237F" w:rsidP="0067237F">
      <w:pPr>
        <w:widowControl w:val="0"/>
        <w:suppressAutoHyphens/>
        <w:autoSpaceDE w:val="0"/>
        <w:spacing w:after="0" w:line="240" w:lineRule="auto"/>
        <w:jc w:val="both"/>
        <w:rPr>
          <w:color w:val="000000"/>
          <w:sz w:val="24"/>
          <w:lang w:val="en-US" w:eastAsia="en-US" w:bidi="en-US"/>
        </w:rPr>
      </w:pPr>
      <w:bookmarkStart w:id="0" w:name="_GoBack"/>
      <w:bookmarkEnd w:id="0"/>
      <w:r w:rsidRPr="0067237F">
        <w:rPr>
          <w:sz w:val="24"/>
        </w:rPr>
        <w:t xml:space="preserve">Prezydent Miasta Świnoujście zastrzega sobie prawo </w:t>
      </w:r>
      <w:r w:rsidRPr="0067237F">
        <w:rPr>
          <w:color w:val="000000"/>
          <w:sz w:val="24"/>
          <w:lang w:val="en-US" w:eastAsia="en-US" w:bidi="en-US"/>
        </w:rPr>
        <w:t xml:space="preserve">odwołania konkursu w każdym czasie, bez podania przyczyn </w:t>
      </w:r>
      <w:r w:rsidRPr="0067237F">
        <w:rPr>
          <w:bCs/>
          <w:sz w:val="24"/>
        </w:rPr>
        <w:t>oraz prawo do możliwości przedłużenia terminu złożenia ofert i terminu rozstrzygnięcia konkursu ofert.</w:t>
      </w:r>
    </w:p>
    <w:p w:rsidR="0067237F" w:rsidRPr="00294CC7" w:rsidRDefault="0067237F" w:rsidP="001A63AC">
      <w:pPr>
        <w:spacing w:after="0" w:line="240" w:lineRule="auto"/>
        <w:jc w:val="both"/>
        <w:rPr>
          <w:b/>
          <w:bCs/>
          <w:sz w:val="24"/>
        </w:rPr>
      </w:pPr>
    </w:p>
    <w:sectPr w:rsidR="0067237F" w:rsidRPr="00294CC7">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B7665FF"/>
    <w:multiLevelType w:val="hybridMultilevel"/>
    <w:tmpl w:val="99EA4A9C"/>
    <w:lvl w:ilvl="0" w:tplc="96023182">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2E46AF7"/>
    <w:multiLevelType w:val="hybridMultilevel"/>
    <w:tmpl w:val="D67AAB3A"/>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7"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0"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4"/>
  </w:num>
  <w:num w:numId="8">
    <w:abstractNumId w:val="23"/>
  </w:num>
  <w:num w:numId="9">
    <w:abstractNumId w:val="10"/>
  </w:num>
  <w:num w:numId="10">
    <w:abstractNumId w:val="3"/>
  </w:num>
  <w:num w:numId="11">
    <w:abstractNumId w:val="29"/>
  </w:num>
  <w:num w:numId="12">
    <w:abstractNumId w:val="25"/>
  </w:num>
  <w:num w:numId="13">
    <w:abstractNumId w:val="17"/>
  </w:num>
  <w:num w:numId="14">
    <w:abstractNumId w:val="28"/>
  </w:num>
  <w:num w:numId="15">
    <w:abstractNumId w:val="9"/>
  </w:num>
  <w:num w:numId="16">
    <w:abstractNumId w:val="8"/>
  </w:num>
  <w:num w:numId="17">
    <w:abstractNumId w:val="12"/>
  </w:num>
  <w:num w:numId="18">
    <w:abstractNumId w:val="13"/>
  </w:num>
  <w:num w:numId="19">
    <w:abstractNumId w:val="19"/>
  </w:num>
  <w:num w:numId="20">
    <w:abstractNumId w:val="11"/>
  </w:num>
  <w:num w:numId="21">
    <w:abstractNumId w:val="18"/>
  </w:num>
  <w:num w:numId="22">
    <w:abstractNumId w:val="26"/>
  </w:num>
  <w:num w:numId="23">
    <w:abstractNumId w:val="16"/>
  </w:num>
  <w:num w:numId="24">
    <w:abstractNumId w:val="7"/>
  </w:num>
  <w:num w:numId="25">
    <w:abstractNumId w:val="22"/>
  </w:num>
  <w:num w:numId="26">
    <w:abstractNumId w:val="30"/>
  </w:num>
  <w:num w:numId="27">
    <w:abstractNumId w:val="27"/>
  </w:num>
  <w:num w:numId="28">
    <w:abstractNumId w:val="21"/>
  </w:num>
  <w:num w:numId="29">
    <w:abstractNumId w:val="14"/>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60B0"/>
    <w:rsid w:val="00015CC3"/>
    <w:rsid w:val="00020DD0"/>
    <w:rsid w:val="00042C44"/>
    <w:rsid w:val="00056EAD"/>
    <w:rsid w:val="00080E38"/>
    <w:rsid w:val="000922E4"/>
    <w:rsid w:val="000C7E34"/>
    <w:rsid w:val="000E06B3"/>
    <w:rsid w:val="000E5246"/>
    <w:rsid w:val="000E5B6D"/>
    <w:rsid w:val="000F0B09"/>
    <w:rsid w:val="000F6270"/>
    <w:rsid w:val="00122D06"/>
    <w:rsid w:val="00125CA7"/>
    <w:rsid w:val="00145D58"/>
    <w:rsid w:val="00197330"/>
    <w:rsid w:val="001A3B7C"/>
    <w:rsid w:val="001A63AC"/>
    <w:rsid w:val="001C2F33"/>
    <w:rsid w:val="001E477F"/>
    <w:rsid w:val="001F488A"/>
    <w:rsid w:val="0020162E"/>
    <w:rsid w:val="00211CFD"/>
    <w:rsid w:val="00244200"/>
    <w:rsid w:val="00246F03"/>
    <w:rsid w:val="002478B1"/>
    <w:rsid w:val="00263EF9"/>
    <w:rsid w:val="00285A3C"/>
    <w:rsid w:val="00294CC7"/>
    <w:rsid w:val="002A469C"/>
    <w:rsid w:val="002D6F66"/>
    <w:rsid w:val="002F1DA7"/>
    <w:rsid w:val="002F632C"/>
    <w:rsid w:val="00312C54"/>
    <w:rsid w:val="00322B5C"/>
    <w:rsid w:val="00323B86"/>
    <w:rsid w:val="003443E5"/>
    <w:rsid w:val="0035498F"/>
    <w:rsid w:val="00361621"/>
    <w:rsid w:val="00363854"/>
    <w:rsid w:val="003766DD"/>
    <w:rsid w:val="00385B00"/>
    <w:rsid w:val="0038612E"/>
    <w:rsid w:val="003868F8"/>
    <w:rsid w:val="003935C8"/>
    <w:rsid w:val="003A3249"/>
    <w:rsid w:val="003D64D0"/>
    <w:rsid w:val="003F5587"/>
    <w:rsid w:val="004156F3"/>
    <w:rsid w:val="00436431"/>
    <w:rsid w:val="00440B3A"/>
    <w:rsid w:val="00451EA4"/>
    <w:rsid w:val="004533E9"/>
    <w:rsid w:val="0045704A"/>
    <w:rsid w:val="00463CDE"/>
    <w:rsid w:val="00465524"/>
    <w:rsid w:val="004924BB"/>
    <w:rsid w:val="00496C9E"/>
    <w:rsid w:val="004B231B"/>
    <w:rsid w:val="004C5F13"/>
    <w:rsid w:val="004C6A33"/>
    <w:rsid w:val="004C7E08"/>
    <w:rsid w:val="004D1743"/>
    <w:rsid w:val="004D1F51"/>
    <w:rsid w:val="004F3E02"/>
    <w:rsid w:val="00502929"/>
    <w:rsid w:val="00511489"/>
    <w:rsid w:val="00513781"/>
    <w:rsid w:val="00513795"/>
    <w:rsid w:val="005155E4"/>
    <w:rsid w:val="00520AD7"/>
    <w:rsid w:val="005272DE"/>
    <w:rsid w:val="005349D9"/>
    <w:rsid w:val="00550FB7"/>
    <w:rsid w:val="0055376C"/>
    <w:rsid w:val="0058602F"/>
    <w:rsid w:val="005B4240"/>
    <w:rsid w:val="005B596A"/>
    <w:rsid w:val="005C6CAC"/>
    <w:rsid w:val="005D66D2"/>
    <w:rsid w:val="005F0682"/>
    <w:rsid w:val="005F3096"/>
    <w:rsid w:val="005F72E9"/>
    <w:rsid w:val="0060073B"/>
    <w:rsid w:val="006276C8"/>
    <w:rsid w:val="0063306D"/>
    <w:rsid w:val="00633CEA"/>
    <w:rsid w:val="0063792D"/>
    <w:rsid w:val="0065233C"/>
    <w:rsid w:val="006554D3"/>
    <w:rsid w:val="006608B1"/>
    <w:rsid w:val="0067237F"/>
    <w:rsid w:val="00673A4D"/>
    <w:rsid w:val="00673E66"/>
    <w:rsid w:val="0067621D"/>
    <w:rsid w:val="00682374"/>
    <w:rsid w:val="00697E39"/>
    <w:rsid w:val="006A0C42"/>
    <w:rsid w:val="006A1AFB"/>
    <w:rsid w:val="006F48F0"/>
    <w:rsid w:val="006F5A08"/>
    <w:rsid w:val="00730433"/>
    <w:rsid w:val="0075791F"/>
    <w:rsid w:val="0076054F"/>
    <w:rsid w:val="00792C71"/>
    <w:rsid w:val="0079408B"/>
    <w:rsid w:val="0079422C"/>
    <w:rsid w:val="007A216E"/>
    <w:rsid w:val="007A7739"/>
    <w:rsid w:val="00803A72"/>
    <w:rsid w:val="008247BA"/>
    <w:rsid w:val="00832F7A"/>
    <w:rsid w:val="008473E0"/>
    <w:rsid w:val="00853534"/>
    <w:rsid w:val="00864FCA"/>
    <w:rsid w:val="00873881"/>
    <w:rsid w:val="008B242A"/>
    <w:rsid w:val="008C29AB"/>
    <w:rsid w:val="008D75A2"/>
    <w:rsid w:val="00904446"/>
    <w:rsid w:val="00913913"/>
    <w:rsid w:val="00914BBE"/>
    <w:rsid w:val="00915CF4"/>
    <w:rsid w:val="00937CD1"/>
    <w:rsid w:val="0094524D"/>
    <w:rsid w:val="00952295"/>
    <w:rsid w:val="00964784"/>
    <w:rsid w:val="00987F08"/>
    <w:rsid w:val="00997342"/>
    <w:rsid w:val="009A4356"/>
    <w:rsid w:val="009D0B36"/>
    <w:rsid w:val="00A26702"/>
    <w:rsid w:val="00A32CB2"/>
    <w:rsid w:val="00A32DB2"/>
    <w:rsid w:val="00A465F1"/>
    <w:rsid w:val="00A6422A"/>
    <w:rsid w:val="00A651AD"/>
    <w:rsid w:val="00A74952"/>
    <w:rsid w:val="00A7751E"/>
    <w:rsid w:val="00A86484"/>
    <w:rsid w:val="00A91CFB"/>
    <w:rsid w:val="00A9222E"/>
    <w:rsid w:val="00AA2F5A"/>
    <w:rsid w:val="00AC4AAB"/>
    <w:rsid w:val="00AD024A"/>
    <w:rsid w:val="00AD41FF"/>
    <w:rsid w:val="00AE13F8"/>
    <w:rsid w:val="00AF19F5"/>
    <w:rsid w:val="00AF2757"/>
    <w:rsid w:val="00B03AE5"/>
    <w:rsid w:val="00B04B50"/>
    <w:rsid w:val="00B065F9"/>
    <w:rsid w:val="00B206C3"/>
    <w:rsid w:val="00B366AC"/>
    <w:rsid w:val="00B53A1A"/>
    <w:rsid w:val="00B7415D"/>
    <w:rsid w:val="00B8097F"/>
    <w:rsid w:val="00B8135A"/>
    <w:rsid w:val="00B93A58"/>
    <w:rsid w:val="00BC3B0D"/>
    <w:rsid w:val="00BC5B46"/>
    <w:rsid w:val="00C057DC"/>
    <w:rsid w:val="00C10D3C"/>
    <w:rsid w:val="00C12A53"/>
    <w:rsid w:val="00C37761"/>
    <w:rsid w:val="00C50E86"/>
    <w:rsid w:val="00C7261B"/>
    <w:rsid w:val="00C7286D"/>
    <w:rsid w:val="00C74D25"/>
    <w:rsid w:val="00CA7572"/>
    <w:rsid w:val="00CB17E3"/>
    <w:rsid w:val="00CB3EDE"/>
    <w:rsid w:val="00CC1CE2"/>
    <w:rsid w:val="00CC7546"/>
    <w:rsid w:val="00CE62B4"/>
    <w:rsid w:val="00CF21C5"/>
    <w:rsid w:val="00D05BA6"/>
    <w:rsid w:val="00D218B1"/>
    <w:rsid w:val="00D35B70"/>
    <w:rsid w:val="00D47E71"/>
    <w:rsid w:val="00D50145"/>
    <w:rsid w:val="00D55465"/>
    <w:rsid w:val="00D618DD"/>
    <w:rsid w:val="00D932C4"/>
    <w:rsid w:val="00D938E8"/>
    <w:rsid w:val="00D955F6"/>
    <w:rsid w:val="00DA39C9"/>
    <w:rsid w:val="00DA7A3B"/>
    <w:rsid w:val="00DC1EC4"/>
    <w:rsid w:val="00DD0004"/>
    <w:rsid w:val="00DD57FE"/>
    <w:rsid w:val="00DF19DD"/>
    <w:rsid w:val="00E141B3"/>
    <w:rsid w:val="00E170B0"/>
    <w:rsid w:val="00E17E33"/>
    <w:rsid w:val="00E250F9"/>
    <w:rsid w:val="00E3433B"/>
    <w:rsid w:val="00E4574E"/>
    <w:rsid w:val="00E52346"/>
    <w:rsid w:val="00E53017"/>
    <w:rsid w:val="00E53ED3"/>
    <w:rsid w:val="00E57C3D"/>
    <w:rsid w:val="00E6298C"/>
    <w:rsid w:val="00E67687"/>
    <w:rsid w:val="00E72C4C"/>
    <w:rsid w:val="00EA1D8C"/>
    <w:rsid w:val="00EA27A1"/>
    <w:rsid w:val="00EB2610"/>
    <w:rsid w:val="00EB4532"/>
    <w:rsid w:val="00EB5983"/>
    <w:rsid w:val="00EE2C58"/>
    <w:rsid w:val="00EE3F77"/>
    <w:rsid w:val="00EF16BB"/>
    <w:rsid w:val="00EF7C05"/>
    <w:rsid w:val="00F016D8"/>
    <w:rsid w:val="00F10639"/>
    <w:rsid w:val="00F2505E"/>
    <w:rsid w:val="00F25E3D"/>
    <w:rsid w:val="00F279A5"/>
    <w:rsid w:val="00F356DA"/>
    <w:rsid w:val="00F37254"/>
    <w:rsid w:val="00F41B2C"/>
    <w:rsid w:val="00F53176"/>
    <w:rsid w:val="00F55123"/>
    <w:rsid w:val="00F56E3A"/>
    <w:rsid w:val="00F635E7"/>
    <w:rsid w:val="00F678C3"/>
    <w:rsid w:val="00F95C04"/>
    <w:rsid w:val="00FB6AAE"/>
    <w:rsid w:val="00FC66ED"/>
    <w:rsid w:val="00FD5AFB"/>
    <w:rsid w:val="00FE56AE"/>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0B52"/>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character" w:customStyle="1" w:styleId="citation-line">
    <w:name w:val="citation-line"/>
    <w:basedOn w:val="Domylnaczcionkaakapitu"/>
    <w:rsid w:val="005D66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37E8-8A2B-451D-B313-CD00E3A0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6</Pages>
  <Words>2365</Words>
  <Characters>14196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kjonczyk</cp:lastModifiedBy>
  <cp:revision>185</cp:revision>
  <cp:lastPrinted>2018-01-29T08:31:00Z</cp:lastPrinted>
  <dcterms:created xsi:type="dcterms:W3CDTF">2017-01-24T09:33:00Z</dcterms:created>
  <dcterms:modified xsi:type="dcterms:W3CDTF">2020-03-05T11:31:00Z</dcterms:modified>
</cp:coreProperties>
</file>