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095066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2.3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="00C1174F" w:rsidRPr="00331A6E">
        <w:rPr>
          <w:b/>
          <w:spacing w:val="-4"/>
          <w:sz w:val="24"/>
          <w:szCs w:val="24"/>
          <w:lang w:eastAsia="ar-SA"/>
        </w:rPr>
        <w:t xml:space="preserve">Rewitalizacja powojskowych terenów w celu utworzenia centrum usług "Mulnik" </w:t>
      </w:r>
      <w:r w:rsidR="00C1174F">
        <w:rPr>
          <w:b/>
          <w:spacing w:val="-4"/>
          <w:sz w:val="24"/>
          <w:szCs w:val="24"/>
          <w:lang w:eastAsia="ar-SA"/>
        </w:rPr>
        <w:br/>
      </w:r>
      <w:r w:rsidR="00C1174F" w:rsidRPr="00331A6E">
        <w:rPr>
          <w:b/>
          <w:spacing w:val="-4"/>
          <w:sz w:val="24"/>
          <w:szCs w:val="24"/>
          <w:lang w:eastAsia="ar-SA"/>
        </w:rPr>
        <w:t>w Świnoujściu</w:t>
      </w:r>
      <w:r>
        <w:rPr>
          <w:b/>
          <w:spacing w:val="-4"/>
          <w:sz w:val="24"/>
          <w:szCs w:val="24"/>
          <w:lang w:eastAsia="ar-SA"/>
        </w:rPr>
        <w:t>”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</w:p>
    <w:p w:rsidR="003E1D41" w:rsidRPr="00347E73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  <w:r w:rsidRPr="00347E73">
        <w:rPr>
          <w:b/>
          <w:spacing w:val="-4"/>
          <w:sz w:val="30"/>
          <w:szCs w:val="30"/>
          <w:lang w:eastAsia="ar-SA"/>
        </w:rPr>
        <w:t>WYKAZ DOKUMENTACJI PROJEKTOWEJ: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8227"/>
      </w:tblGrid>
      <w:tr w:rsidR="009A52A9" w:rsidTr="0075370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ZAKRES GMINY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A.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DOKUMENTACYJNA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Decyzja środowiskowa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D5.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D6.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Wyłączenie z produkcji leśnej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D7.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Uzgodnienie z Komendą Portu Wojennego Świnoujście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II.A.1.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Zagospodarowanie terenu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II.A.2.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Zagospodarowanie terenu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II.1.1.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drogowa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II.1.2.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drogowa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II.2.1.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sanitarna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II.2.2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sanitarna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elektryczna/teletechniczna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 – kolizje sieci ENEA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II.3.3.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elektryczna/teletechniczna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– CUM 1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II.4.3.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II.5.1.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II.5.2.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– CUM 1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II.5.3.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II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5444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</w:t>
            </w:r>
            <w:r w:rsidR="00A145D8">
              <w:rPr>
                <w:b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 – TEREN PORTU</w:t>
            </w:r>
          </w:p>
        </w:tc>
      </w:tr>
      <w:tr w:rsidR="009273E4" w:rsidTr="00670555">
        <w:tc>
          <w:tcPr>
            <w:tcW w:w="1149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DOKUEMNTACYJNA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A145D8" w:rsidTr="00670555">
        <w:tc>
          <w:tcPr>
            <w:tcW w:w="1149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II.A.1.P.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Zagospodarowanie terenu – etap I - P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Branża drogowa – etap I - P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C.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PRZEDMIARY i STWiORB</w:t>
            </w:r>
          </w:p>
        </w:tc>
      </w:tr>
      <w:tr w:rsidR="00A145D8" w:rsidTr="00670555">
        <w:tc>
          <w:tcPr>
            <w:tcW w:w="1149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PRZEDMIARY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lastRenderedPageBreak/>
              <w:t>I.1.</w:t>
            </w:r>
          </w:p>
        </w:tc>
        <w:tc>
          <w:tcPr>
            <w:tcW w:w="8227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drogowa i zieleń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I.2</w:t>
            </w:r>
          </w:p>
        </w:tc>
        <w:tc>
          <w:tcPr>
            <w:tcW w:w="8227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sanitarna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I.3</w:t>
            </w:r>
          </w:p>
        </w:tc>
        <w:tc>
          <w:tcPr>
            <w:tcW w:w="8227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</w:t>
            </w:r>
            <w:r w:rsidR="0053338B" w:rsidRPr="0053338B">
              <w:rPr>
                <w:spacing w:val="-4"/>
                <w:sz w:val="24"/>
                <w:szCs w:val="24"/>
                <w:lang w:eastAsia="ar-SA"/>
              </w:rPr>
              <w:t>.4.</w:t>
            </w:r>
          </w:p>
        </w:tc>
        <w:tc>
          <w:tcPr>
            <w:tcW w:w="8227" w:type="dxa"/>
          </w:tcPr>
          <w:p w:rsidR="00A145D8" w:rsidRPr="0053338B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Rozbiórki</w:t>
            </w:r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STWiORB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II.1.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drogowa i zieleń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II.2.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sanitarna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II.3.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II.4.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Rozbiórka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D.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MATERIAŁY DODATKOWE</w:t>
            </w:r>
          </w:p>
        </w:tc>
      </w:tr>
      <w:tr w:rsidR="00156CB4" w:rsidTr="00670555">
        <w:tc>
          <w:tcPr>
            <w:tcW w:w="1149" w:type="dxa"/>
          </w:tcPr>
          <w:p w:rsidR="00156CB4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156CB4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Architektura</w:t>
            </w:r>
          </w:p>
        </w:tc>
      </w:tr>
      <w:tr w:rsidR="00156CB4" w:rsidTr="00670555">
        <w:tc>
          <w:tcPr>
            <w:tcW w:w="1149" w:type="dxa"/>
          </w:tcPr>
          <w:p w:rsidR="00156CB4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156CB4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Branża sanitarna</w:t>
            </w:r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III.1.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Fotometria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III.2.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Uzgodnienia</w:t>
            </w:r>
          </w:p>
        </w:tc>
      </w:tr>
      <w:tr w:rsidR="00A145D8" w:rsidTr="00670555">
        <w:tc>
          <w:tcPr>
            <w:tcW w:w="1149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IV.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Branża drogowa</w:t>
            </w:r>
          </w:p>
        </w:tc>
      </w:tr>
      <w:tr w:rsidR="00A145D8" w:rsidTr="00670555">
        <w:tc>
          <w:tcPr>
            <w:tcW w:w="1149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V.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Zagospodarowanie terenu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Szacunki brakarskie drzew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Zarządzenie nr 677/2014 Prezydenta Miasta Świnoujście z 10 grudnia 2014 r.</w:t>
            </w:r>
          </w:p>
        </w:tc>
      </w:tr>
      <w:tr w:rsidR="00A145D8" w:rsidTr="00670555">
        <w:tc>
          <w:tcPr>
            <w:tcW w:w="1149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V.3.</w:t>
            </w:r>
          </w:p>
        </w:tc>
        <w:tc>
          <w:tcPr>
            <w:tcW w:w="8227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Decyzje i uzgodnienia</w:t>
            </w:r>
          </w:p>
        </w:tc>
      </w:tr>
      <w:tr w:rsidR="009A52A9" w:rsidTr="00050D7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ZAKRES ZWiK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E.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ZAKRES ZWiK</w:t>
            </w:r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tłocznego zrzutowego o śr. 400 mm z przepompowni ścieków P2 na oczyszczalnię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Przedmiar</w:t>
            </w:r>
            <w:r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I.3.</w:t>
            </w:r>
          </w:p>
        </w:tc>
        <w:tc>
          <w:tcPr>
            <w:tcW w:w="8227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 w:rsidR="00E44BB8">
              <w:rPr>
                <w:spacing w:val="-4"/>
                <w:sz w:val="24"/>
                <w:szCs w:val="24"/>
                <w:lang w:eastAsia="ar-SA"/>
              </w:rPr>
              <w:t>B</w:t>
            </w:r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z przepompowni P3 ul Grunwaldzka do oczyszczalni ścieków w Świnoujściu – ETAP I realizacji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  <w:bookmarkStart w:id="0" w:name="_GoBack"/>
            <w:bookmarkEnd w:id="0"/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8227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Przedmiar</w:t>
            </w:r>
            <w:r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="004D6689">
              <w:rPr>
                <w:spacing w:val="-4"/>
                <w:sz w:val="24"/>
                <w:szCs w:val="24"/>
                <w:lang w:eastAsia="ar-SA"/>
              </w:rPr>
              <w:t>.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227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>
              <w:rPr>
                <w:spacing w:val="-4"/>
                <w:sz w:val="24"/>
                <w:szCs w:val="24"/>
                <w:lang w:eastAsia="ar-SA"/>
              </w:rPr>
              <w:t>B</w:t>
            </w:r>
          </w:p>
        </w:tc>
      </w:tr>
    </w:tbl>
    <w:p w:rsidR="003E1D41" w:rsidRPr="009273E4" w:rsidRDefault="003E1D41" w:rsidP="009273E4">
      <w:pPr>
        <w:pStyle w:val="Akapitzlist"/>
        <w:suppressAutoHyphens/>
        <w:ind w:left="1080"/>
        <w:rPr>
          <w:b/>
          <w:spacing w:val="-4"/>
          <w:sz w:val="24"/>
          <w:szCs w:val="24"/>
          <w:lang w:eastAsia="ar-SA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7F1" w:rsidRDefault="007567F1">
      <w:r>
        <w:separator/>
      </w:r>
    </w:p>
  </w:endnote>
  <w:endnote w:type="continuationSeparator" w:id="0">
    <w:p w:rsidR="007567F1" w:rsidRDefault="007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7F1" w:rsidRDefault="007567F1">
      <w:r>
        <w:separator/>
      </w:r>
    </w:p>
  </w:footnote>
  <w:footnote w:type="continuationSeparator" w:id="0">
    <w:p w:rsidR="007567F1" w:rsidRDefault="0075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Pr="0031339E" w:rsidRDefault="000B2E72" w:rsidP="0031339E">
    <w:pPr>
      <w:pStyle w:val="Nagwek"/>
      <w:pBdr>
        <w:bottom w:val="single" w:sz="4" w:space="15" w:color="auto"/>
      </w:pBd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6EF">
      <w:rPr>
        <w:bCs/>
      </w:rPr>
      <w:t xml:space="preserve"> </w:t>
    </w:r>
    <w:r w:rsidR="0031339E">
      <w:rPr>
        <w:bCs/>
      </w:rPr>
      <w:t>Nr </w:t>
    </w:r>
    <w:r w:rsidRPr="005846EF">
      <w:rPr>
        <w:bCs/>
      </w:rPr>
      <w:t xml:space="preserve">sprawy: </w:t>
    </w:r>
    <w:r>
      <w:rPr>
        <w:bCs/>
      </w:rPr>
      <w:t>WIM.</w:t>
    </w:r>
    <w:r w:rsidRPr="005846EF">
      <w:rPr>
        <w:bCs/>
      </w:rPr>
      <w:t>271.1.</w:t>
    </w:r>
    <w:r w:rsidR="00C1174F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477B"/>
    <w:multiLevelType w:val="hybridMultilevel"/>
    <w:tmpl w:val="4B9AD750"/>
    <w:lvl w:ilvl="0" w:tplc="08400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B"/>
    <w:rsid w:val="00066516"/>
    <w:rsid w:val="00082213"/>
    <w:rsid w:val="00095066"/>
    <w:rsid w:val="000B2E72"/>
    <w:rsid w:val="000D1316"/>
    <w:rsid w:val="000D4F33"/>
    <w:rsid w:val="000D7D9F"/>
    <w:rsid w:val="000E7554"/>
    <w:rsid w:val="0010662C"/>
    <w:rsid w:val="0014293F"/>
    <w:rsid w:val="00156CB4"/>
    <w:rsid w:val="00181114"/>
    <w:rsid w:val="001861C5"/>
    <w:rsid w:val="001C4D51"/>
    <w:rsid w:val="001E7AF0"/>
    <w:rsid w:val="00204059"/>
    <w:rsid w:val="00226159"/>
    <w:rsid w:val="002C61DF"/>
    <w:rsid w:val="002C7869"/>
    <w:rsid w:val="0031339E"/>
    <w:rsid w:val="00322EE3"/>
    <w:rsid w:val="0034757E"/>
    <w:rsid w:val="00365ADB"/>
    <w:rsid w:val="00380666"/>
    <w:rsid w:val="003E1D41"/>
    <w:rsid w:val="003E3EFD"/>
    <w:rsid w:val="00432154"/>
    <w:rsid w:val="004678D8"/>
    <w:rsid w:val="0048392F"/>
    <w:rsid w:val="004915C9"/>
    <w:rsid w:val="004B7082"/>
    <w:rsid w:val="004C6DC6"/>
    <w:rsid w:val="004D3931"/>
    <w:rsid w:val="004D6689"/>
    <w:rsid w:val="0053338B"/>
    <w:rsid w:val="00561E11"/>
    <w:rsid w:val="005711A2"/>
    <w:rsid w:val="005846EF"/>
    <w:rsid w:val="00586EB4"/>
    <w:rsid w:val="005B0C71"/>
    <w:rsid w:val="005C3565"/>
    <w:rsid w:val="005E0915"/>
    <w:rsid w:val="005E285A"/>
    <w:rsid w:val="006427AC"/>
    <w:rsid w:val="00663C8E"/>
    <w:rsid w:val="00670555"/>
    <w:rsid w:val="0067375C"/>
    <w:rsid w:val="00684DC8"/>
    <w:rsid w:val="00690EE2"/>
    <w:rsid w:val="00694B9A"/>
    <w:rsid w:val="006A4E31"/>
    <w:rsid w:val="006A5CB4"/>
    <w:rsid w:val="006B7267"/>
    <w:rsid w:val="00707139"/>
    <w:rsid w:val="007307A0"/>
    <w:rsid w:val="007322D8"/>
    <w:rsid w:val="00735562"/>
    <w:rsid w:val="007567F1"/>
    <w:rsid w:val="00776E43"/>
    <w:rsid w:val="00797648"/>
    <w:rsid w:val="00797BDB"/>
    <w:rsid w:val="007A1C45"/>
    <w:rsid w:val="007B3CFE"/>
    <w:rsid w:val="007E3907"/>
    <w:rsid w:val="008465EA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273E4"/>
    <w:rsid w:val="00954448"/>
    <w:rsid w:val="00961694"/>
    <w:rsid w:val="00966261"/>
    <w:rsid w:val="009A342C"/>
    <w:rsid w:val="009A52A9"/>
    <w:rsid w:val="009B36EB"/>
    <w:rsid w:val="009C4C75"/>
    <w:rsid w:val="009D10F0"/>
    <w:rsid w:val="00A145D8"/>
    <w:rsid w:val="00A155C4"/>
    <w:rsid w:val="00A41ACC"/>
    <w:rsid w:val="00A633B8"/>
    <w:rsid w:val="00AD09DC"/>
    <w:rsid w:val="00AE5102"/>
    <w:rsid w:val="00AF0F85"/>
    <w:rsid w:val="00AF5840"/>
    <w:rsid w:val="00B12092"/>
    <w:rsid w:val="00B3301D"/>
    <w:rsid w:val="00B60CC3"/>
    <w:rsid w:val="00B75A95"/>
    <w:rsid w:val="00B961E8"/>
    <w:rsid w:val="00BB2D2A"/>
    <w:rsid w:val="00BF34C6"/>
    <w:rsid w:val="00C1174F"/>
    <w:rsid w:val="00C44D07"/>
    <w:rsid w:val="00C533AA"/>
    <w:rsid w:val="00C72438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BB8"/>
    <w:rsid w:val="00E501EC"/>
    <w:rsid w:val="00E50EFC"/>
    <w:rsid w:val="00E9569A"/>
    <w:rsid w:val="00E96AFB"/>
    <w:rsid w:val="00F123BA"/>
    <w:rsid w:val="00F66B01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B5C128"/>
  <w15:docId w15:val="{19883DB0-CF86-42EA-8DC0-621A8BC6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table" w:styleId="Tabela-Siatka">
    <w:name w:val="Table Grid"/>
    <w:basedOn w:val="Standardowy"/>
    <w:uiPriority w:val="59"/>
    <w:rsid w:val="0092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wgpr</dc:creator>
  <cp:keywords/>
  <dc:description/>
  <cp:lastModifiedBy>Olga Spiak</cp:lastModifiedBy>
  <cp:revision>14</cp:revision>
  <cp:lastPrinted>2018-07-11T11:10:00Z</cp:lastPrinted>
  <dcterms:created xsi:type="dcterms:W3CDTF">2017-05-04T04:52:00Z</dcterms:created>
  <dcterms:modified xsi:type="dcterms:W3CDTF">2018-10-23T10:58:00Z</dcterms:modified>
</cp:coreProperties>
</file>