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3FFAC" w14:textId="77777777" w:rsidR="007B538E" w:rsidRPr="00EA4A9D" w:rsidRDefault="007B538E" w:rsidP="007B538E">
      <w:pPr>
        <w:autoSpaceDE w:val="0"/>
        <w:autoSpaceDN w:val="0"/>
        <w:adjustRightInd w:val="0"/>
        <w:spacing w:after="120"/>
        <w:jc w:val="center"/>
        <w:rPr>
          <w:rFonts w:ascii="Arial" w:hAnsi="Arial" w:cs="Arial"/>
          <w:b/>
          <w:sz w:val="28"/>
          <w:szCs w:val="20"/>
        </w:rPr>
      </w:pPr>
      <w:bookmarkStart w:id="0" w:name="_GoBack"/>
      <w:bookmarkEnd w:id="0"/>
      <w:r>
        <w:rPr>
          <w:rFonts w:ascii="Arial" w:hAnsi="Arial" w:cs="Arial"/>
          <w:b/>
          <w:sz w:val="28"/>
          <w:szCs w:val="20"/>
        </w:rPr>
        <w:t>Rozdział 2</w:t>
      </w:r>
    </w:p>
    <w:p w14:paraId="06C44041" w14:textId="77777777" w:rsidR="007B538E" w:rsidRPr="00EA4A9D" w:rsidRDefault="007B538E" w:rsidP="007B538E">
      <w:pPr>
        <w:autoSpaceDE w:val="0"/>
        <w:autoSpaceDN w:val="0"/>
        <w:adjustRightInd w:val="0"/>
        <w:spacing w:after="120"/>
        <w:jc w:val="center"/>
        <w:rPr>
          <w:rFonts w:ascii="Arial" w:hAnsi="Arial" w:cs="Arial"/>
          <w:b/>
          <w:sz w:val="28"/>
          <w:szCs w:val="20"/>
        </w:rPr>
      </w:pPr>
      <w:r>
        <w:rPr>
          <w:rFonts w:ascii="Arial" w:hAnsi="Arial" w:cs="Arial"/>
          <w:b/>
          <w:sz w:val="28"/>
          <w:szCs w:val="20"/>
        </w:rPr>
        <w:t>Gwarancja Jakości</w:t>
      </w:r>
    </w:p>
    <w:p w14:paraId="31E1BE21" w14:textId="77777777" w:rsidR="007B538E" w:rsidRDefault="007B538E" w:rsidP="007B538E">
      <w:pPr>
        <w:pStyle w:val="Tekstpodstawowy"/>
        <w:spacing w:after="60"/>
        <w:ind w:left="0"/>
        <w:jc w:val="both"/>
        <w:rPr>
          <w:rFonts w:cs="Arial"/>
          <w:lang w:val="pl-PL"/>
        </w:rPr>
      </w:pPr>
    </w:p>
    <w:p w14:paraId="3C47BA86" w14:textId="77777777" w:rsidR="007B538E" w:rsidRPr="008367BC" w:rsidRDefault="007B538E" w:rsidP="007B538E">
      <w:pPr>
        <w:pStyle w:val="Tekstpodstawowy"/>
        <w:spacing w:after="60"/>
        <w:ind w:left="0"/>
        <w:jc w:val="center"/>
        <w:rPr>
          <w:rFonts w:cs="Arial"/>
          <w:b/>
          <w:lang w:val="pl-PL"/>
        </w:rPr>
      </w:pPr>
      <w:r w:rsidRPr="008367BC">
        <w:rPr>
          <w:rFonts w:cs="Arial"/>
          <w:b/>
          <w:lang w:val="pl-PL"/>
        </w:rPr>
        <w:t>Karta gwarancyjna</w:t>
      </w:r>
    </w:p>
    <w:p w14:paraId="26CB8BE9" w14:textId="77777777" w:rsidR="007B538E" w:rsidRPr="008367BC" w:rsidRDefault="007B538E" w:rsidP="007B538E">
      <w:pPr>
        <w:pStyle w:val="Tekstpodstawowy"/>
        <w:spacing w:after="60"/>
        <w:jc w:val="center"/>
        <w:rPr>
          <w:rFonts w:cs="Arial"/>
          <w:b/>
          <w:lang w:val="pl-PL"/>
        </w:rPr>
      </w:pPr>
    </w:p>
    <w:p w14:paraId="69C32C54" w14:textId="77777777" w:rsidR="007B538E" w:rsidRPr="008367BC" w:rsidRDefault="007B538E" w:rsidP="007B538E">
      <w:pPr>
        <w:pStyle w:val="Tekstpodstawowy"/>
        <w:spacing w:after="120"/>
        <w:ind w:left="0"/>
        <w:jc w:val="both"/>
        <w:rPr>
          <w:rFonts w:cs="Arial"/>
          <w:b/>
          <w:lang w:val="pl-PL"/>
        </w:rPr>
      </w:pPr>
      <w:r w:rsidRPr="008367BC">
        <w:rPr>
          <w:rFonts w:cs="Arial"/>
          <w:b/>
          <w:lang w:val="pl-PL"/>
        </w:rPr>
        <w:t>I. STRONY GWARANCJI</w:t>
      </w:r>
    </w:p>
    <w:p w14:paraId="7F8885AD" w14:textId="77777777" w:rsidR="007B538E" w:rsidRPr="008367BC" w:rsidRDefault="007B538E" w:rsidP="007B538E">
      <w:pPr>
        <w:pStyle w:val="Tekstpodstawowy"/>
        <w:spacing w:after="120"/>
        <w:ind w:left="0"/>
        <w:jc w:val="both"/>
        <w:rPr>
          <w:rFonts w:cs="Arial"/>
          <w:b/>
          <w:lang w:val="pl-PL"/>
        </w:rPr>
      </w:pPr>
    </w:p>
    <w:p w14:paraId="337D4505" w14:textId="77777777" w:rsidR="007B538E" w:rsidRPr="008367BC" w:rsidRDefault="007B538E" w:rsidP="007B538E">
      <w:pPr>
        <w:pStyle w:val="Tekstpodstawowy"/>
        <w:spacing w:after="120"/>
        <w:ind w:left="0"/>
        <w:jc w:val="both"/>
        <w:rPr>
          <w:rFonts w:cs="Arial"/>
          <w:lang w:val="pl-PL"/>
        </w:rPr>
      </w:pPr>
      <w:r w:rsidRPr="008367BC">
        <w:rPr>
          <w:rFonts w:cs="Arial"/>
          <w:b/>
          <w:lang w:val="pl-PL"/>
        </w:rPr>
        <w:t>Gwarant</w:t>
      </w:r>
      <w:r w:rsidRPr="008367BC">
        <w:rPr>
          <w:rFonts w:cs="Arial"/>
          <w:lang w:val="pl-PL"/>
        </w:rPr>
        <w:t xml:space="preserve"> (Wykonawca): ………………</w:t>
      </w:r>
    </w:p>
    <w:p w14:paraId="67CD9E5D" w14:textId="77777777" w:rsidR="007B538E" w:rsidRPr="008367BC" w:rsidRDefault="007B538E" w:rsidP="007B538E">
      <w:pPr>
        <w:pStyle w:val="Tekstpodstawowy"/>
        <w:spacing w:after="120"/>
        <w:ind w:left="0"/>
        <w:jc w:val="both"/>
        <w:rPr>
          <w:rFonts w:cs="Arial"/>
          <w:lang w:val="pl-PL"/>
        </w:rPr>
      </w:pPr>
    </w:p>
    <w:p w14:paraId="564155E9" w14:textId="77777777" w:rsidR="007B538E" w:rsidRPr="008367BC" w:rsidRDefault="007B538E" w:rsidP="007B538E">
      <w:pPr>
        <w:pStyle w:val="Tekstpodstawowy"/>
        <w:spacing w:after="120"/>
        <w:ind w:left="0"/>
        <w:jc w:val="both"/>
        <w:rPr>
          <w:rFonts w:cs="Arial"/>
          <w:lang w:val="pl-PL"/>
        </w:rPr>
      </w:pPr>
      <w:r w:rsidRPr="008367BC">
        <w:rPr>
          <w:rFonts w:cs="Arial"/>
          <w:b/>
          <w:lang w:val="pl-PL"/>
        </w:rPr>
        <w:t>Uprawniony z Gwarancji</w:t>
      </w:r>
      <w:r w:rsidRPr="008367BC">
        <w:rPr>
          <w:rFonts w:cs="Arial"/>
          <w:lang w:val="pl-PL"/>
        </w:rPr>
        <w:t xml:space="preserve"> (Zamawiający): ………………, jak również każdy podmiot, na rzecz którego Zamawiający przeleje swoje prawa i obowiązki wynikające z Umowy, a także następca prawny Zamawiającego.</w:t>
      </w:r>
    </w:p>
    <w:p w14:paraId="2389BCB7" w14:textId="77777777" w:rsidR="007B538E" w:rsidRPr="008367BC" w:rsidRDefault="007B538E" w:rsidP="007B538E">
      <w:pPr>
        <w:pStyle w:val="Tekstpodstawowy"/>
        <w:spacing w:after="120"/>
        <w:jc w:val="both"/>
        <w:rPr>
          <w:rFonts w:cs="Arial"/>
          <w:lang w:val="pl-PL"/>
        </w:rPr>
      </w:pPr>
    </w:p>
    <w:p w14:paraId="76196FA0" w14:textId="77777777" w:rsidR="007B538E" w:rsidRPr="008367BC" w:rsidRDefault="007B538E" w:rsidP="007B538E">
      <w:pPr>
        <w:pStyle w:val="Tekstpodstawowy"/>
        <w:spacing w:after="120"/>
        <w:ind w:left="0"/>
        <w:jc w:val="both"/>
        <w:rPr>
          <w:rFonts w:cs="Arial"/>
          <w:b/>
          <w:lang w:val="pl-PL"/>
        </w:rPr>
      </w:pPr>
      <w:r w:rsidRPr="008367BC">
        <w:rPr>
          <w:rFonts w:cs="Arial"/>
          <w:b/>
          <w:lang w:val="pl-PL"/>
        </w:rPr>
        <w:t>II. CZĘŚĆ OGÓLNA</w:t>
      </w:r>
    </w:p>
    <w:p w14:paraId="48DC4157" w14:textId="77777777" w:rsidR="007B538E" w:rsidRPr="008367BC" w:rsidRDefault="007B538E" w:rsidP="007B538E">
      <w:pPr>
        <w:pStyle w:val="Tekstpodstawowy"/>
        <w:spacing w:after="120"/>
        <w:ind w:left="0"/>
        <w:jc w:val="both"/>
        <w:rPr>
          <w:rFonts w:cs="Arial"/>
          <w:b/>
          <w:lang w:val="pl-PL"/>
        </w:rPr>
      </w:pPr>
    </w:p>
    <w:p w14:paraId="44C375F4" w14:textId="77777777" w:rsidR="007B538E" w:rsidRPr="008367BC" w:rsidRDefault="007B538E" w:rsidP="007B538E">
      <w:pPr>
        <w:pStyle w:val="Tekstpodstawowy"/>
        <w:numPr>
          <w:ilvl w:val="0"/>
          <w:numId w:val="1"/>
        </w:numPr>
        <w:spacing w:after="120"/>
        <w:ind w:left="426" w:hanging="426"/>
        <w:jc w:val="both"/>
        <w:rPr>
          <w:rFonts w:cs="Arial"/>
          <w:lang w:val="pl-PL"/>
        </w:rPr>
      </w:pPr>
      <w:r w:rsidRPr="008367BC">
        <w:rPr>
          <w:rFonts w:cs="Arial"/>
          <w:lang w:val="pl-PL"/>
        </w:rPr>
        <w:t>Przedmiot i okres gwarancji jakości</w:t>
      </w:r>
    </w:p>
    <w:p w14:paraId="1990F932" w14:textId="77777777" w:rsidR="007B538E" w:rsidRPr="008367BC" w:rsidRDefault="007B538E" w:rsidP="007B538E">
      <w:pPr>
        <w:pStyle w:val="Tekstpodstawowy"/>
        <w:numPr>
          <w:ilvl w:val="1"/>
          <w:numId w:val="1"/>
        </w:numPr>
        <w:spacing w:after="120"/>
        <w:ind w:left="851" w:hanging="425"/>
        <w:jc w:val="both"/>
        <w:rPr>
          <w:rFonts w:cs="Arial"/>
          <w:lang w:val="pl-PL"/>
        </w:rPr>
      </w:pPr>
      <w:r w:rsidRPr="008367BC">
        <w:rPr>
          <w:rFonts w:cs="Arial"/>
          <w:lang w:val="pl-PL"/>
        </w:rPr>
        <w:t>Gwarancja jakości udzielana przez Gwaranta Uprawnionemu z Gwarancji obejmuje całość Robót i Dokumentów Wykonawcy objętych przedmiotem umowy na „Usprawnienie połączenia komunikacyjnego pomiędzy wyspami Uznam i Wolin w Świnoujściu – budowa tunelu pod Świną” (dalej: Przedmiot Umowy).</w:t>
      </w:r>
    </w:p>
    <w:p w14:paraId="69B4A7B0" w14:textId="77777777" w:rsidR="007B538E" w:rsidRPr="008367BC" w:rsidRDefault="007B538E" w:rsidP="007B538E">
      <w:pPr>
        <w:pStyle w:val="Tekstpodstawowy"/>
        <w:numPr>
          <w:ilvl w:val="1"/>
          <w:numId w:val="1"/>
        </w:numPr>
        <w:spacing w:after="120"/>
        <w:ind w:left="851" w:hanging="425"/>
        <w:jc w:val="both"/>
        <w:rPr>
          <w:rFonts w:cs="Arial"/>
          <w:lang w:val="pl-PL"/>
        </w:rPr>
      </w:pPr>
      <w:r w:rsidRPr="008367BC">
        <w:rPr>
          <w:rFonts w:cs="Arial"/>
          <w:lang w:val="pl-PL"/>
        </w:rPr>
        <w:t>Gwarant oświadcza, że Przedmiot Umowy został wykonany prawidłowo, zgodnie z umową i najlepszą wiedzą Gwaranta.</w:t>
      </w:r>
    </w:p>
    <w:p w14:paraId="5291F170" w14:textId="77777777" w:rsidR="007B538E" w:rsidRPr="008367BC" w:rsidRDefault="007B538E" w:rsidP="007B538E">
      <w:pPr>
        <w:pStyle w:val="Tekstpodstawowy"/>
        <w:numPr>
          <w:ilvl w:val="1"/>
          <w:numId w:val="1"/>
        </w:numPr>
        <w:spacing w:after="120"/>
        <w:ind w:left="851" w:hanging="425"/>
        <w:jc w:val="both"/>
        <w:rPr>
          <w:rFonts w:cs="Arial"/>
          <w:lang w:val="pl-PL"/>
        </w:rPr>
      </w:pPr>
      <w:r w:rsidRPr="008367BC">
        <w:rPr>
          <w:rFonts w:cs="Arial"/>
          <w:lang w:val="pl-PL"/>
        </w:rPr>
        <w:t>Gwarant przyjmuje na siebie odpowiedzialność za Przedmiot Umowy, w tym za Dokumenty Wykonawcy i za zakres Przedmiotu Umowy zrealizowany przez podwykonawców.</w:t>
      </w:r>
    </w:p>
    <w:p w14:paraId="43E8421C" w14:textId="77777777" w:rsidR="007B538E" w:rsidRPr="008367BC" w:rsidRDefault="007B538E" w:rsidP="007B538E">
      <w:pPr>
        <w:pStyle w:val="Tekstpodstawowy"/>
        <w:numPr>
          <w:ilvl w:val="1"/>
          <w:numId w:val="1"/>
        </w:numPr>
        <w:spacing w:after="120"/>
        <w:ind w:left="851" w:hanging="425"/>
        <w:jc w:val="both"/>
        <w:rPr>
          <w:rFonts w:cs="Arial"/>
          <w:lang w:val="pl-PL"/>
        </w:rPr>
      </w:pPr>
      <w:r w:rsidRPr="008367BC">
        <w:rPr>
          <w:rFonts w:cs="Arial"/>
          <w:lang w:val="pl-PL"/>
        </w:rPr>
        <w:t>Okres gwarancji jakości na Przedmiot Umowy jest ustalony w umowie.</w:t>
      </w:r>
    </w:p>
    <w:p w14:paraId="403CFFA4" w14:textId="77777777" w:rsidR="007B538E" w:rsidRPr="008367BC" w:rsidRDefault="007B538E" w:rsidP="007B538E">
      <w:pPr>
        <w:pStyle w:val="Tekstpodstawowy"/>
        <w:numPr>
          <w:ilvl w:val="1"/>
          <w:numId w:val="1"/>
        </w:numPr>
        <w:spacing w:after="120"/>
        <w:ind w:left="851" w:hanging="425"/>
        <w:jc w:val="both"/>
        <w:rPr>
          <w:rFonts w:cs="Arial"/>
          <w:lang w:val="pl-PL"/>
        </w:rPr>
      </w:pPr>
      <w:r w:rsidRPr="008367BC">
        <w:rPr>
          <w:rFonts w:cs="Arial"/>
          <w:lang w:val="pl-PL"/>
        </w:rPr>
        <w:t>Okres gwarancji jakości ulega odpowiedniemu przedłużeniu o czas, w którym elementy przedmiotu umowy nie mogą być używane zgodnie z ich przeznaczeniem z powodu jakiejkolwiek Wady.</w:t>
      </w:r>
    </w:p>
    <w:p w14:paraId="7F281DC0" w14:textId="77777777" w:rsidR="007B538E" w:rsidRPr="008367BC" w:rsidRDefault="007B538E" w:rsidP="007B538E">
      <w:pPr>
        <w:pStyle w:val="Tekstpodstawowy"/>
        <w:numPr>
          <w:ilvl w:val="1"/>
          <w:numId w:val="1"/>
        </w:numPr>
        <w:spacing w:after="120"/>
        <w:ind w:left="851" w:hanging="425"/>
        <w:jc w:val="both"/>
        <w:rPr>
          <w:rFonts w:cs="Arial"/>
          <w:lang w:val="pl-PL"/>
        </w:rPr>
      </w:pPr>
      <w:r w:rsidRPr="008367BC">
        <w:rPr>
          <w:rFonts w:cs="Arial"/>
          <w:lang w:val="pl-PL"/>
        </w:rPr>
        <w:t xml:space="preserve">Przed wydaniem Świadectwa Wykonania, przedstawiciele Gwaranta, Konsultanta i Zamawiającego zgodnie z </w:t>
      </w:r>
      <w:proofErr w:type="spellStart"/>
      <w:r w:rsidRPr="008367BC">
        <w:rPr>
          <w:rFonts w:cs="Arial"/>
          <w:lang w:val="pl-PL"/>
        </w:rPr>
        <w:t>Subklauzulą</w:t>
      </w:r>
      <w:proofErr w:type="spellEnd"/>
      <w:r w:rsidRPr="008367BC">
        <w:rPr>
          <w:rFonts w:cs="Arial"/>
          <w:lang w:val="pl-PL"/>
        </w:rPr>
        <w:t xml:space="preserve"> 3.5 Warunków Kontraktu, ustalą wpływ stwierdzonych odstępstw od postanowień Programu Funkcjonalno-Użytkowego na zobowiązania Gwaranta.</w:t>
      </w:r>
    </w:p>
    <w:p w14:paraId="410A5386" w14:textId="77777777" w:rsidR="007B538E" w:rsidRPr="008367BC" w:rsidRDefault="007B538E" w:rsidP="007B538E">
      <w:pPr>
        <w:pStyle w:val="Tekstpodstawowy"/>
        <w:numPr>
          <w:ilvl w:val="1"/>
          <w:numId w:val="1"/>
        </w:numPr>
        <w:spacing w:after="120"/>
        <w:ind w:left="851" w:hanging="425"/>
        <w:jc w:val="both"/>
        <w:rPr>
          <w:rFonts w:cs="Arial"/>
          <w:lang w:val="pl-PL"/>
        </w:rPr>
      </w:pPr>
      <w:r w:rsidRPr="008367BC">
        <w:rPr>
          <w:rFonts w:cs="Arial"/>
          <w:lang w:val="pl-PL"/>
        </w:rPr>
        <w:t>Wada powinna być usunięta przez Gwaranta w miejscu, w którym rzecz znajduje się w chwili ujawnienia Wady. W przypadku gdy Wada nie może być usunięta w miejscu, w którym rzecz znajduje się, Gwarant jest zobowiązany odebrać rzecz z miejsca, w którym znajduje się, a następnie, po usunięciu Wady lub dokonaniu wymiany rzeczy na nową, dostarczyć – na koszt i ryzyko Gwaranta.</w:t>
      </w:r>
    </w:p>
    <w:p w14:paraId="4433106C" w14:textId="77777777" w:rsidR="007B538E" w:rsidRPr="008367BC" w:rsidRDefault="007B538E" w:rsidP="007B538E">
      <w:pPr>
        <w:pStyle w:val="Tekstpodstawowy"/>
        <w:numPr>
          <w:ilvl w:val="1"/>
          <w:numId w:val="1"/>
        </w:numPr>
        <w:spacing w:after="120"/>
        <w:ind w:left="851" w:hanging="425"/>
        <w:jc w:val="both"/>
        <w:rPr>
          <w:rFonts w:cs="Arial"/>
          <w:lang w:val="pl-PL"/>
        </w:rPr>
      </w:pPr>
      <w:r w:rsidRPr="008367BC">
        <w:rPr>
          <w:rFonts w:cs="Arial"/>
          <w:lang w:val="pl-PL"/>
        </w:rPr>
        <w:t xml:space="preserve">Ilekroć w niniejszym dokumencie jest mowa o Wadzie, należy przez to rozumieć wadę zdefiniowaną w </w:t>
      </w:r>
      <w:proofErr w:type="spellStart"/>
      <w:r w:rsidRPr="008367BC">
        <w:rPr>
          <w:rFonts w:cs="Arial"/>
          <w:lang w:val="pl-PL"/>
        </w:rPr>
        <w:t>Subklauzuli</w:t>
      </w:r>
      <w:proofErr w:type="spellEnd"/>
      <w:r w:rsidRPr="008367BC">
        <w:rPr>
          <w:rFonts w:cs="Arial"/>
          <w:lang w:val="pl-PL"/>
        </w:rPr>
        <w:t xml:space="preserve"> 1.1.3.7.(c) Warunków Kontraktu.</w:t>
      </w:r>
    </w:p>
    <w:p w14:paraId="7609E9C8" w14:textId="77777777" w:rsidR="007B538E" w:rsidRPr="008367BC" w:rsidRDefault="007B538E" w:rsidP="007B538E">
      <w:pPr>
        <w:pStyle w:val="Tekstpodstawowy"/>
        <w:spacing w:after="120"/>
        <w:ind w:left="0"/>
        <w:jc w:val="both"/>
        <w:rPr>
          <w:rFonts w:cs="Arial"/>
          <w:lang w:val="pl-PL"/>
        </w:rPr>
      </w:pPr>
    </w:p>
    <w:p w14:paraId="755A82BB" w14:textId="77777777" w:rsidR="007B538E" w:rsidRPr="008367BC" w:rsidRDefault="007B538E" w:rsidP="007B538E">
      <w:pPr>
        <w:pStyle w:val="Tekstpodstawowy"/>
        <w:numPr>
          <w:ilvl w:val="0"/>
          <w:numId w:val="1"/>
        </w:numPr>
        <w:spacing w:after="120"/>
        <w:ind w:left="426" w:hanging="426"/>
        <w:jc w:val="both"/>
        <w:rPr>
          <w:rFonts w:cs="Arial"/>
          <w:lang w:val="pl-PL"/>
        </w:rPr>
      </w:pPr>
      <w:r w:rsidRPr="008367BC">
        <w:rPr>
          <w:rFonts w:cs="Arial"/>
          <w:lang w:val="pl-PL"/>
        </w:rPr>
        <w:t>Obowiązki i uprawnienia Stron</w:t>
      </w:r>
    </w:p>
    <w:p w14:paraId="2C56417C" w14:textId="77777777" w:rsidR="007B538E" w:rsidRPr="008367BC" w:rsidRDefault="007B538E" w:rsidP="007B538E">
      <w:pPr>
        <w:pStyle w:val="Tekstpodstawowy"/>
        <w:numPr>
          <w:ilvl w:val="1"/>
          <w:numId w:val="1"/>
        </w:numPr>
        <w:spacing w:after="120"/>
        <w:ind w:left="851" w:hanging="425"/>
        <w:jc w:val="both"/>
        <w:rPr>
          <w:rFonts w:cs="Arial"/>
          <w:lang w:val="pl-PL"/>
        </w:rPr>
      </w:pPr>
      <w:r w:rsidRPr="008367BC">
        <w:rPr>
          <w:rFonts w:cs="Arial"/>
          <w:lang w:val="pl-PL"/>
        </w:rPr>
        <w:t>W przypadku ujawnienia jakiejkolwiek Wady w Przedmiocie Umowy, Zamawiający jest uprawniony do:</w:t>
      </w:r>
    </w:p>
    <w:p w14:paraId="041B0E23" w14:textId="77777777" w:rsidR="007B538E" w:rsidRPr="008367BC" w:rsidRDefault="007B538E" w:rsidP="007B538E">
      <w:pPr>
        <w:pStyle w:val="Tekstpodstawowy"/>
        <w:spacing w:after="120"/>
        <w:ind w:left="1134" w:hanging="283"/>
        <w:jc w:val="both"/>
        <w:rPr>
          <w:rFonts w:cs="Arial"/>
          <w:lang w:val="pl-PL"/>
        </w:rPr>
      </w:pPr>
      <w:r w:rsidRPr="008367BC">
        <w:rPr>
          <w:rFonts w:cs="Arial"/>
          <w:lang w:val="pl-PL"/>
        </w:rPr>
        <w:t>a)</w:t>
      </w:r>
      <w:r w:rsidRPr="008367BC">
        <w:rPr>
          <w:rFonts w:cs="Arial"/>
          <w:lang w:val="pl-PL"/>
        </w:rPr>
        <w:tab/>
        <w:t>żądania nieodpłatnego usunięcia Wady, a w przypadku, gdy dana rzecz była już co najmniej dwukrotnie naprawiana – do żądania wymiany tej rzeczy lub jej części na nową, wolną od Wad;</w:t>
      </w:r>
    </w:p>
    <w:p w14:paraId="1CFA1142" w14:textId="77777777" w:rsidR="007B538E" w:rsidRPr="008367BC" w:rsidRDefault="007B538E" w:rsidP="007B538E">
      <w:pPr>
        <w:pStyle w:val="Tekstpodstawowy"/>
        <w:spacing w:after="120"/>
        <w:ind w:left="1134" w:hanging="283"/>
        <w:jc w:val="both"/>
        <w:rPr>
          <w:rFonts w:cs="Arial"/>
          <w:lang w:val="pl-PL"/>
        </w:rPr>
      </w:pPr>
      <w:r w:rsidRPr="008367BC">
        <w:rPr>
          <w:rFonts w:cs="Arial"/>
          <w:lang w:val="pl-PL"/>
        </w:rPr>
        <w:t>b)</w:t>
      </w:r>
      <w:r w:rsidRPr="008367BC">
        <w:rPr>
          <w:rFonts w:cs="Arial"/>
          <w:lang w:val="pl-PL"/>
        </w:rPr>
        <w:tab/>
        <w:t>wskazania trybu usunięcia Wady lub wymiany rzeczy na wolną od Wad;</w:t>
      </w:r>
    </w:p>
    <w:p w14:paraId="4074E1D3" w14:textId="77777777" w:rsidR="007B538E" w:rsidRPr="008367BC" w:rsidRDefault="007B538E" w:rsidP="007B538E">
      <w:pPr>
        <w:pStyle w:val="Tekstpodstawowy"/>
        <w:spacing w:after="120"/>
        <w:ind w:left="1134" w:hanging="283"/>
        <w:jc w:val="both"/>
        <w:rPr>
          <w:rFonts w:cs="Arial"/>
          <w:lang w:val="pl-PL"/>
        </w:rPr>
      </w:pPr>
      <w:r w:rsidRPr="008367BC">
        <w:rPr>
          <w:rFonts w:cs="Arial"/>
          <w:lang w:val="pl-PL"/>
        </w:rPr>
        <w:t>c)</w:t>
      </w:r>
      <w:r w:rsidRPr="008367BC">
        <w:rPr>
          <w:rFonts w:cs="Arial"/>
          <w:lang w:val="pl-PL"/>
        </w:rPr>
        <w:tab/>
        <w:t>wskazania terminu usunięcia Wady;</w:t>
      </w:r>
    </w:p>
    <w:p w14:paraId="5F08351D" w14:textId="77777777" w:rsidR="007B538E" w:rsidRPr="008367BC" w:rsidRDefault="007B538E" w:rsidP="007B538E">
      <w:pPr>
        <w:pStyle w:val="Tekstpodstawowy"/>
        <w:spacing w:after="120"/>
        <w:ind w:left="1134" w:hanging="283"/>
        <w:jc w:val="both"/>
        <w:rPr>
          <w:rFonts w:cs="Arial"/>
          <w:lang w:val="pl-PL"/>
        </w:rPr>
      </w:pPr>
      <w:r w:rsidRPr="008367BC">
        <w:rPr>
          <w:rFonts w:cs="Arial"/>
          <w:lang w:val="pl-PL"/>
        </w:rPr>
        <w:lastRenderedPageBreak/>
        <w:t>a Gwarant jest zobowiązany do terminowego wykonania żądań Zamawiającego.</w:t>
      </w:r>
    </w:p>
    <w:p w14:paraId="58EA9517" w14:textId="77777777" w:rsidR="007B538E" w:rsidRPr="008367BC" w:rsidRDefault="007B538E" w:rsidP="007B538E">
      <w:pPr>
        <w:pStyle w:val="Tekstpodstawowy"/>
        <w:numPr>
          <w:ilvl w:val="1"/>
          <w:numId w:val="1"/>
        </w:numPr>
        <w:spacing w:after="120"/>
        <w:ind w:left="851" w:hanging="425"/>
        <w:jc w:val="both"/>
        <w:rPr>
          <w:rFonts w:cs="Arial"/>
          <w:lang w:val="pl-PL"/>
        </w:rPr>
      </w:pPr>
      <w:r w:rsidRPr="008367BC">
        <w:rPr>
          <w:rFonts w:cs="Arial"/>
          <w:lang w:val="pl-PL"/>
        </w:rPr>
        <w:t>Ilekroć w postanowieniach jest mowa o „usunięciu Wady" należy przez to rozumieć również wymianę rzeczy na nową, wolną od Wad.</w:t>
      </w:r>
    </w:p>
    <w:p w14:paraId="3A66815A" w14:textId="77777777" w:rsidR="007B538E" w:rsidRPr="008367BC" w:rsidRDefault="007B538E" w:rsidP="007B538E">
      <w:pPr>
        <w:pStyle w:val="Tekstpodstawowy"/>
        <w:numPr>
          <w:ilvl w:val="1"/>
          <w:numId w:val="1"/>
        </w:numPr>
        <w:spacing w:after="120"/>
        <w:ind w:left="851" w:hanging="425"/>
        <w:jc w:val="both"/>
        <w:rPr>
          <w:rFonts w:cs="Arial"/>
          <w:lang w:val="pl-PL"/>
        </w:rPr>
      </w:pPr>
      <w:r w:rsidRPr="008367BC">
        <w:rPr>
          <w:rFonts w:cs="Arial"/>
          <w:lang w:val="pl-PL"/>
        </w:rPr>
        <w:t>W przypadku nieterminowego potwierdzenia przyjęcia zgłoszenia od Zamawiającego przez Gwaranta lub nieokreślenia przez Gwaranta sposobu usunięcia Wady, Zamawiający będzie uprawniony do naliczenia Gwarantowi kary umownej w wysokości 10 000 zł za każdy dzień zwłoki.</w:t>
      </w:r>
    </w:p>
    <w:p w14:paraId="097D260D" w14:textId="77777777" w:rsidR="007B538E" w:rsidRPr="008367BC" w:rsidRDefault="007B538E" w:rsidP="007B538E">
      <w:pPr>
        <w:pStyle w:val="Tekstpodstawowy"/>
        <w:numPr>
          <w:ilvl w:val="1"/>
          <w:numId w:val="1"/>
        </w:numPr>
        <w:spacing w:after="120"/>
        <w:ind w:left="851" w:hanging="425"/>
        <w:jc w:val="both"/>
        <w:rPr>
          <w:rFonts w:cs="Arial"/>
          <w:lang w:val="pl-PL"/>
        </w:rPr>
      </w:pPr>
      <w:r w:rsidRPr="008367BC">
        <w:rPr>
          <w:rFonts w:cs="Arial"/>
          <w:lang w:val="pl-PL"/>
        </w:rPr>
        <w:t xml:space="preserve">W przypadku nieterminowego usunięcia Wady lub wymiany rzeczy na wolną od Wad przez Gwaranta, Zamawiający będzie uprawniony do naliczenia Gwarantowi kary umownej w wysokości 10 000 zł za każdy dzień zwłoki, z wyłączeniem sytuacji gdy kara za niedotrzymanie któregokolwiek z terminów usunięcia Wad, usterek lub wykonania zaległych prac ujawnionych w Okresie Przeglądów i Rozliczenia Kontraktu, została naliczona zgodnie z </w:t>
      </w:r>
      <w:proofErr w:type="spellStart"/>
      <w:r w:rsidRPr="008367BC">
        <w:rPr>
          <w:rFonts w:cs="Arial"/>
          <w:lang w:val="pl-PL"/>
        </w:rPr>
        <w:t>Subklauzulą</w:t>
      </w:r>
      <w:proofErr w:type="spellEnd"/>
      <w:r w:rsidRPr="008367BC">
        <w:rPr>
          <w:rFonts w:cs="Arial"/>
          <w:lang w:val="pl-PL"/>
        </w:rPr>
        <w:t xml:space="preserve"> 8.7 Warunków Kontraktu.</w:t>
      </w:r>
    </w:p>
    <w:p w14:paraId="212977B9" w14:textId="77777777" w:rsidR="007B538E" w:rsidRPr="008367BC" w:rsidRDefault="007B538E" w:rsidP="007B538E">
      <w:pPr>
        <w:pStyle w:val="Tekstpodstawowy"/>
        <w:numPr>
          <w:ilvl w:val="1"/>
          <w:numId w:val="1"/>
        </w:numPr>
        <w:spacing w:after="120"/>
        <w:ind w:left="851" w:hanging="425"/>
        <w:jc w:val="both"/>
        <w:rPr>
          <w:rFonts w:cs="Arial"/>
          <w:lang w:val="pl-PL"/>
        </w:rPr>
      </w:pPr>
      <w:r w:rsidRPr="008367BC">
        <w:rPr>
          <w:rFonts w:cs="Arial"/>
          <w:lang w:val="pl-PL"/>
        </w:rPr>
        <w:t>Niezależnie od naliczenia kar umownych, Zamawiający zastrzega możliwość dochodzenia od Gwaranta odszkodowania uzupełniającego przewyższającego wysokość kar umownych do wysokości rzeczywiście poniesionej szkody na zasadach ogólnych.</w:t>
      </w:r>
    </w:p>
    <w:p w14:paraId="4EE2B41F" w14:textId="77777777" w:rsidR="007B538E" w:rsidRPr="008367BC" w:rsidRDefault="007B538E" w:rsidP="007B538E">
      <w:pPr>
        <w:pStyle w:val="Tekstpodstawowy"/>
        <w:numPr>
          <w:ilvl w:val="1"/>
          <w:numId w:val="1"/>
        </w:numPr>
        <w:spacing w:after="120"/>
        <w:ind w:left="851" w:hanging="425"/>
        <w:jc w:val="both"/>
        <w:rPr>
          <w:rFonts w:cs="Arial"/>
          <w:lang w:val="pl-PL"/>
        </w:rPr>
      </w:pPr>
      <w:r w:rsidRPr="008367BC">
        <w:rPr>
          <w:rFonts w:cs="Arial"/>
          <w:lang w:val="pl-PL"/>
        </w:rPr>
        <w:t>Gwarant zobowiązuje się do udzielenia stosownych Gwarancji Jakości właściwym gestorom przebudowywanych sieci (w przypadku likwidacji kolizji realizowanych robót z infrastrukturą istniejącą) niezwłocznie po odbiorze wykonanych w tym zakresie prac i ich przekazaniu na rzecz tych gestorów.</w:t>
      </w:r>
    </w:p>
    <w:p w14:paraId="6A24E0C7" w14:textId="77777777" w:rsidR="007B538E" w:rsidRPr="008367BC" w:rsidRDefault="007B538E" w:rsidP="007B538E">
      <w:pPr>
        <w:pStyle w:val="Tekstpodstawowy"/>
        <w:spacing w:after="120"/>
        <w:ind w:left="851"/>
        <w:jc w:val="both"/>
        <w:rPr>
          <w:rFonts w:cs="Arial"/>
          <w:lang w:val="pl-PL"/>
        </w:rPr>
      </w:pPr>
    </w:p>
    <w:p w14:paraId="23D01221" w14:textId="77777777" w:rsidR="007B538E" w:rsidRPr="008367BC" w:rsidRDefault="007B538E" w:rsidP="007B538E">
      <w:pPr>
        <w:pStyle w:val="Tekstpodstawowy"/>
        <w:numPr>
          <w:ilvl w:val="0"/>
          <w:numId w:val="1"/>
        </w:numPr>
        <w:spacing w:after="120"/>
        <w:ind w:left="426" w:hanging="426"/>
        <w:jc w:val="both"/>
        <w:rPr>
          <w:rFonts w:cs="Arial"/>
          <w:lang w:val="pl-PL"/>
        </w:rPr>
      </w:pPr>
      <w:r w:rsidRPr="008367BC">
        <w:rPr>
          <w:rFonts w:cs="Arial"/>
          <w:lang w:val="pl-PL"/>
        </w:rPr>
        <w:t>Upoważnienie Zamawiającego</w:t>
      </w:r>
    </w:p>
    <w:p w14:paraId="00543BAE" w14:textId="77777777" w:rsidR="007B538E" w:rsidRPr="008367BC" w:rsidRDefault="007B538E" w:rsidP="007B538E">
      <w:pPr>
        <w:pStyle w:val="Tekstpodstawowy"/>
        <w:spacing w:after="120"/>
        <w:ind w:left="426"/>
        <w:jc w:val="both"/>
        <w:rPr>
          <w:rFonts w:cs="Arial"/>
          <w:lang w:val="pl-PL"/>
        </w:rPr>
      </w:pPr>
      <w:r w:rsidRPr="008367BC">
        <w:rPr>
          <w:rFonts w:cs="Arial"/>
          <w:lang w:val="pl-PL"/>
        </w:rPr>
        <w:t>Niezależnie od udzielonej gwarancji, Gwarant niniejszym upoważnia Uprawnionego z Gwarancji do wykonywania uprawnień z gwarancji przysługujących Gwarantowi wobec podmiotów, wobec których Gwarantowi przysługują takie uprawnienia, tj. w szczególności wobec producentów urządzeń, podwykonawców.</w:t>
      </w:r>
    </w:p>
    <w:p w14:paraId="3A8244D3" w14:textId="77777777" w:rsidR="007B538E" w:rsidRPr="008367BC" w:rsidRDefault="007B538E" w:rsidP="007B538E">
      <w:pPr>
        <w:pStyle w:val="Tekstpodstawowy"/>
        <w:spacing w:after="120"/>
        <w:ind w:left="0"/>
        <w:jc w:val="both"/>
        <w:rPr>
          <w:rFonts w:cs="Arial"/>
          <w:lang w:val="pl-PL"/>
        </w:rPr>
      </w:pPr>
    </w:p>
    <w:p w14:paraId="3297187D" w14:textId="77777777" w:rsidR="007B538E" w:rsidRPr="008367BC" w:rsidRDefault="007B538E" w:rsidP="007B538E">
      <w:pPr>
        <w:pStyle w:val="Tekstpodstawowy"/>
        <w:numPr>
          <w:ilvl w:val="0"/>
          <w:numId w:val="1"/>
        </w:numPr>
        <w:spacing w:after="120"/>
        <w:ind w:left="426" w:hanging="426"/>
        <w:jc w:val="both"/>
        <w:rPr>
          <w:rFonts w:cs="Arial"/>
          <w:lang w:val="pl-PL"/>
        </w:rPr>
      </w:pPr>
      <w:r w:rsidRPr="008367BC">
        <w:rPr>
          <w:rFonts w:cs="Arial"/>
          <w:lang w:val="pl-PL"/>
        </w:rPr>
        <w:t>Przeglądy gwarancyjne</w:t>
      </w:r>
    </w:p>
    <w:p w14:paraId="6993405C" w14:textId="77777777" w:rsidR="007B538E" w:rsidRPr="008367BC" w:rsidRDefault="007B538E" w:rsidP="007B538E">
      <w:pPr>
        <w:pStyle w:val="Tekstpodstawowy"/>
        <w:numPr>
          <w:ilvl w:val="1"/>
          <w:numId w:val="1"/>
        </w:numPr>
        <w:spacing w:after="120"/>
        <w:ind w:left="851" w:hanging="425"/>
        <w:jc w:val="both"/>
        <w:rPr>
          <w:rFonts w:cs="Arial"/>
          <w:lang w:val="pl-PL"/>
        </w:rPr>
      </w:pPr>
      <w:r w:rsidRPr="008367BC">
        <w:rPr>
          <w:rFonts w:cs="Arial"/>
          <w:lang w:val="pl-PL"/>
        </w:rPr>
        <w:t>Komisyjne przeglądy gwarancyjne odbywać się będą w okresie obowiązywania gwarancji według uznania Zamawiającego, nie rzadziej niż raz w roku, ale nie częściej niż raz na kwartał.</w:t>
      </w:r>
    </w:p>
    <w:p w14:paraId="5118F82A" w14:textId="77777777" w:rsidR="007B538E" w:rsidRPr="008367BC" w:rsidRDefault="007B538E" w:rsidP="007B538E">
      <w:pPr>
        <w:pStyle w:val="Tekstpodstawowy"/>
        <w:numPr>
          <w:ilvl w:val="1"/>
          <w:numId w:val="1"/>
        </w:numPr>
        <w:spacing w:after="120"/>
        <w:ind w:left="851" w:hanging="425"/>
        <w:jc w:val="both"/>
        <w:rPr>
          <w:rFonts w:cs="Arial"/>
          <w:lang w:val="pl-PL"/>
        </w:rPr>
      </w:pPr>
      <w:r w:rsidRPr="008367BC">
        <w:rPr>
          <w:rFonts w:cs="Arial"/>
          <w:lang w:val="pl-PL"/>
        </w:rPr>
        <w:t>Uprawniony z Gwarancji może zadecydować o przeprowadzeniu przeglądu gwarancyjnego dla każdej grupy robót niekoniecznie w tym samym czasie.</w:t>
      </w:r>
    </w:p>
    <w:p w14:paraId="45F54EEE" w14:textId="77777777" w:rsidR="007B538E" w:rsidRPr="008367BC" w:rsidRDefault="007B538E" w:rsidP="007B538E">
      <w:pPr>
        <w:pStyle w:val="Tekstpodstawowy"/>
        <w:numPr>
          <w:ilvl w:val="1"/>
          <w:numId w:val="1"/>
        </w:numPr>
        <w:spacing w:after="120"/>
        <w:ind w:left="851" w:hanging="425"/>
        <w:jc w:val="both"/>
        <w:rPr>
          <w:rFonts w:cs="Arial"/>
          <w:lang w:val="pl-PL"/>
        </w:rPr>
      </w:pPr>
      <w:r w:rsidRPr="008367BC">
        <w:rPr>
          <w:rFonts w:cs="Arial"/>
          <w:lang w:val="pl-PL"/>
        </w:rPr>
        <w:t>Datę, godzinę i miejsce dokonania przeglądu gwarancyjnego wyznacza Uprawniony z Gwarancji, zawiadamiając Gwaranta na piśmie z co najmniej 21-dniowym wyprzedzeniem. Gwarant jest obowiązany uczestniczyć w przeglądach gwarancyjnych.</w:t>
      </w:r>
    </w:p>
    <w:p w14:paraId="6EE1DAF9" w14:textId="77777777" w:rsidR="007B538E" w:rsidRPr="008367BC" w:rsidRDefault="007B538E" w:rsidP="007B538E">
      <w:pPr>
        <w:pStyle w:val="Tekstpodstawowy"/>
        <w:numPr>
          <w:ilvl w:val="1"/>
          <w:numId w:val="1"/>
        </w:numPr>
        <w:spacing w:after="120"/>
        <w:ind w:left="851" w:hanging="425"/>
        <w:jc w:val="both"/>
        <w:rPr>
          <w:rFonts w:cs="Arial"/>
          <w:lang w:val="pl-PL"/>
        </w:rPr>
      </w:pPr>
      <w:r w:rsidRPr="008367BC">
        <w:rPr>
          <w:rFonts w:cs="Arial"/>
          <w:lang w:val="pl-PL"/>
        </w:rPr>
        <w:t>W skład każdej komisji przeglądowej będą wchodziły co najmniej dwie osoby wyznaczone przez Uprawnionego z Gwarancji oraz co najmniej dwie osoby wyznaczone przez Gwaranta. Gwarant jest zobowiązany wskazać Uprawnionemu z Gwarancji osoby uczestniczące w przeglądzie gwarancyjnym najpóźniej na 7 dni przed planowanym przeglądem.</w:t>
      </w:r>
    </w:p>
    <w:p w14:paraId="699A6C7A" w14:textId="77777777" w:rsidR="007B538E" w:rsidRPr="008367BC" w:rsidRDefault="007B538E" w:rsidP="007B538E">
      <w:pPr>
        <w:pStyle w:val="Tekstpodstawowy"/>
        <w:numPr>
          <w:ilvl w:val="1"/>
          <w:numId w:val="1"/>
        </w:numPr>
        <w:spacing w:after="120"/>
        <w:ind w:left="850" w:hanging="425"/>
        <w:jc w:val="both"/>
        <w:rPr>
          <w:rFonts w:cs="Arial"/>
          <w:lang w:val="pl-PL"/>
        </w:rPr>
      </w:pPr>
      <w:r w:rsidRPr="008367BC">
        <w:rPr>
          <w:rFonts w:cs="Arial"/>
          <w:lang w:val="pl-PL"/>
        </w:rPr>
        <w:t>Na Gwarancie spoczywa obowiązek zabezpieczenia dokonania przeglądu gwarancyjnego w okresie gwarancyjnym, tj. zapewnienia dostępu do przeglądanych elementów konstrukcji i wyposażenia, w tym nieodpłatne zapewnienie urządzeń potrzebnych do dokonania przeglądu, takich jak w szczególności zwyżka lub łódź.</w:t>
      </w:r>
    </w:p>
    <w:p w14:paraId="6440856B" w14:textId="77777777" w:rsidR="007B538E" w:rsidRPr="008367BC" w:rsidRDefault="007B538E" w:rsidP="007B538E">
      <w:pPr>
        <w:pStyle w:val="Tekstpodstawowy"/>
        <w:numPr>
          <w:ilvl w:val="1"/>
          <w:numId w:val="1"/>
        </w:numPr>
        <w:spacing w:after="120"/>
        <w:ind w:left="850" w:hanging="425"/>
        <w:jc w:val="both"/>
        <w:rPr>
          <w:rFonts w:cs="Arial"/>
          <w:lang w:val="pl-PL"/>
        </w:rPr>
      </w:pPr>
      <w:r w:rsidRPr="008367BC">
        <w:rPr>
          <w:rFonts w:cs="Arial"/>
          <w:lang w:val="pl-PL"/>
        </w:rPr>
        <w:t>Z każdego przeglądu gwarancyjnego sporządzany będzie szczegółowy protokół, w co najmniej dwóch egzemplarzach, po jednym dla Uprawnionego z Gwarancji i dla Gwaranta.</w:t>
      </w:r>
    </w:p>
    <w:p w14:paraId="1A4B58CD" w14:textId="77777777" w:rsidR="007B538E" w:rsidRPr="008367BC" w:rsidRDefault="007B538E" w:rsidP="007B538E">
      <w:pPr>
        <w:pStyle w:val="Tekstpodstawowy"/>
        <w:numPr>
          <w:ilvl w:val="1"/>
          <w:numId w:val="1"/>
        </w:numPr>
        <w:spacing w:after="120"/>
        <w:ind w:left="851" w:hanging="425"/>
        <w:jc w:val="both"/>
        <w:rPr>
          <w:rFonts w:cs="Arial"/>
          <w:lang w:val="pl-PL"/>
        </w:rPr>
      </w:pPr>
      <w:r w:rsidRPr="008367BC">
        <w:rPr>
          <w:rFonts w:cs="Arial"/>
          <w:lang w:val="pl-PL"/>
        </w:rPr>
        <w:t>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579A7EC6" w14:textId="77777777" w:rsidR="007B538E" w:rsidRPr="008367BC" w:rsidRDefault="007B538E" w:rsidP="007B538E">
      <w:pPr>
        <w:pStyle w:val="Tekstpodstawowy"/>
        <w:numPr>
          <w:ilvl w:val="1"/>
          <w:numId w:val="1"/>
        </w:numPr>
        <w:spacing w:after="120"/>
        <w:ind w:left="851" w:hanging="425"/>
        <w:jc w:val="both"/>
        <w:rPr>
          <w:rFonts w:cs="Arial"/>
          <w:lang w:val="pl-PL"/>
        </w:rPr>
      </w:pPr>
      <w:r w:rsidRPr="008367BC">
        <w:rPr>
          <w:rFonts w:cs="Arial"/>
          <w:lang w:val="pl-PL"/>
        </w:rPr>
        <w:t>W przypadku niewypełnienia przez Gwaranta zobowiązań określonych w niniejszej gwarancji, jeżeli na skutek tego nie będzie możliwe wykonanie przeglądu, Uprawniony z Gwarancji będzie uprawniony do zlecenia wykonania przeglądu podmiotowi trzeciemu, a Gwarant zostanie obciążony kosztami przeprowadzenia przeglądu.</w:t>
      </w:r>
    </w:p>
    <w:p w14:paraId="5CFE44A6" w14:textId="77777777" w:rsidR="007B538E" w:rsidRPr="008367BC" w:rsidRDefault="007B538E" w:rsidP="007B538E">
      <w:pPr>
        <w:pStyle w:val="Tekstpodstawowy"/>
        <w:spacing w:after="120"/>
        <w:ind w:left="0"/>
        <w:jc w:val="both"/>
        <w:rPr>
          <w:rFonts w:cs="Arial"/>
          <w:lang w:val="pl-PL"/>
        </w:rPr>
      </w:pPr>
    </w:p>
    <w:p w14:paraId="219C8287" w14:textId="77777777" w:rsidR="007B538E" w:rsidRPr="008367BC" w:rsidRDefault="007B538E" w:rsidP="007B538E">
      <w:pPr>
        <w:pStyle w:val="Tekstpodstawowy"/>
        <w:numPr>
          <w:ilvl w:val="0"/>
          <w:numId w:val="1"/>
        </w:numPr>
        <w:spacing w:after="120"/>
        <w:ind w:left="426" w:hanging="426"/>
        <w:jc w:val="both"/>
        <w:rPr>
          <w:rFonts w:cs="Arial"/>
          <w:lang w:val="pl-PL"/>
        </w:rPr>
      </w:pPr>
      <w:r w:rsidRPr="008367BC">
        <w:rPr>
          <w:rFonts w:cs="Arial"/>
          <w:lang w:val="pl-PL"/>
        </w:rPr>
        <w:t>Tryb usuwania Wad</w:t>
      </w:r>
    </w:p>
    <w:p w14:paraId="0C482FF1" w14:textId="77777777" w:rsidR="007B538E" w:rsidRPr="008367BC" w:rsidRDefault="007B538E" w:rsidP="007B538E">
      <w:pPr>
        <w:pStyle w:val="Tekstpodstawowy"/>
        <w:numPr>
          <w:ilvl w:val="1"/>
          <w:numId w:val="1"/>
        </w:numPr>
        <w:spacing w:after="120"/>
        <w:ind w:left="851" w:hanging="425"/>
        <w:jc w:val="both"/>
        <w:rPr>
          <w:rFonts w:cs="Arial"/>
          <w:lang w:val="pl-PL"/>
        </w:rPr>
      </w:pPr>
      <w:r w:rsidRPr="008367BC">
        <w:rPr>
          <w:rFonts w:cs="Arial"/>
          <w:lang w:val="pl-PL"/>
        </w:rPr>
        <w:t>Gwarant obowiązany jest rozpocząć usuwanie ujawnionej Wady według przedstawionych w tabeli 1 wymagań technicznych oraz czasowych:</w:t>
      </w:r>
    </w:p>
    <w:tbl>
      <w:tblPr>
        <w:tblStyle w:val="Tabela-Siatka"/>
        <w:tblW w:w="8471" w:type="dxa"/>
        <w:tblInd w:w="851" w:type="dxa"/>
        <w:tblLook w:val="04A0" w:firstRow="1" w:lastRow="0" w:firstColumn="1" w:lastColumn="0" w:noHBand="0" w:noVBand="1"/>
      </w:tblPr>
      <w:tblGrid>
        <w:gridCol w:w="1574"/>
        <w:gridCol w:w="3544"/>
        <w:gridCol w:w="3353"/>
      </w:tblGrid>
      <w:tr w:rsidR="007B538E" w:rsidRPr="008367BC" w14:paraId="0ADE2FD0" w14:textId="77777777" w:rsidTr="00AA74F6">
        <w:tc>
          <w:tcPr>
            <w:tcW w:w="1574" w:type="dxa"/>
            <w:vAlign w:val="center"/>
          </w:tcPr>
          <w:p w14:paraId="4863DB2F" w14:textId="77777777" w:rsidR="007B538E" w:rsidRPr="008367BC" w:rsidRDefault="007B538E" w:rsidP="00AA74F6">
            <w:pPr>
              <w:pStyle w:val="Tekstpodstawowy"/>
              <w:spacing w:after="120"/>
              <w:ind w:left="0"/>
              <w:jc w:val="center"/>
              <w:rPr>
                <w:rFonts w:cs="Arial"/>
                <w:lang w:val="pl-PL"/>
              </w:rPr>
            </w:pPr>
            <w:r w:rsidRPr="008367BC">
              <w:rPr>
                <w:rFonts w:cs="Arial"/>
                <w:lang w:val="pl-PL"/>
              </w:rPr>
              <w:t>Klasyfikacja Wady</w:t>
            </w:r>
          </w:p>
        </w:tc>
        <w:tc>
          <w:tcPr>
            <w:tcW w:w="3544" w:type="dxa"/>
            <w:vAlign w:val="center"/>
          </w:tcPr>
          <w:p w14:paraId="39DC817A" w14:textId="77777777" w:rsidR="007B538E" w:rsidRPr="008367BC" w:rsidRDefault="007B538E" w:rsidP="00AA74F6">
            <w:pPr>
              <w:pStyle w:val="Tekstpodstawowy"/>
              <w:spacing w:after="120"/>
              <w:ind w:left="0"/>
              <w:jc w:val="center"/>
              <w:rPr>
                <w:rFonts w:cs="Arial"/>
                <w:lang w:val="pl-PL"/>
              </w:rPr>
            </w:pPr>
            <w:r w:rsidRPr="008367BC">
              <w:rPr>
                <w:rFonts w:cs="Arial"/>
                <w:lang w:val="pl-PL"/>
              </w:rPr>
              <w:t>Reakcja Gwaranta</w:t>
            </w:r>
          </w:p>
        </w:tc>
        <w:tc>
          <w:tcPr>
            <w:tcW w:w="3353" w:type="dxa"/>
            <w:vAlign w:val="center"/>
          </w:tcPr>
          <w:p w14:paraId="5B5FF245" w14:textId="77777777" w:rsidR="007B538E" w:rsidRPr="008367BC" w:rsidRDefault="007B538E" w:rsidP="00AA74F6">
            <w:pPr>
              <w:pStyle w:val="Tekstpodstawowy"/>
              <w:spacing w:after="120"/>
              <w:ind w:left="0"/>
              <w:jc w:val="center"/>
              <w:rPr>
                <w:rFonts w:cs="Arial"/>
                <w:lang w:val="pl-PL"/>
              </w:rPr>
            </w:pPr>
            <w:r w:rsidRPr="008367BC">
              <w:rPr>
                <w:rFonts w:cs="Arial"/>
                <w:lang w:val="pl-PL"/>
              </w:rPr>
              <w:t>Wymagany czas reakcji Gwaranta</w:t>
            </w:r>
          </w:p>
        </w:tc>
      </w:tr>
      <w:tr w:rsidR="007B538E" w:rsidRPr="008367BC" w14:paraId="26C6560E" w14:textId="77777777" w:rsidTr="00AA74F6">
        <w:tc>
          <w:tcPr>
            <w:tcW w:w="1574" w:type="dxa"/>
            <w:vMerge w:val="restart"/>
          </w:tcPr>
          <w:p w14:paraId="08DD03E0" w14:textId="77777777" w:rsidR="007B538E" w:rsidRPr="008367BC" w:rsidRDefault="007B538E" w:rsidP="00AA74F6">
            <w:pPr>
              <w:pStyle w:val="Tekstpodstawowy"/>
              <w:spacing w:after="120"/>
              <w:ind w:left="0"/>
              <w:rPr>
                <w:rFonts w:cs="Arial"/>
                <w:lang w:val="pl-PL"/>
              </w:rPr>
            </w:pPr>
            <w:r w:rsidRPr="008367BC">
              <w:rPr>
                <w:rFonts w:cs="Arial"/>
                <w:lang w:val="pl-PL"/>
              </w:rPr>
              <w:t>Wady Istotne</w:t>
            </w:r>
          </w:p>
        </w:tc>
        <w:tc>
          <w:tcPr>
            <w:tcW w:w="3544" w:type="dxa"/>
          </w:tcPr>
          <w:p w14:paraId="21EA5C87" w14:textId="77777777" w:rsidR="007B538E" w:rsidRPr="008367BC" w:rsidRDefault="007B538E" w:rsidP="00AA74F6">
            <w:pPr>
              <w:pStyle w:val="Tekstpodstawowy"/>
              <w:spacing w:after="120"/>
              <w:ind w:left="0"/>
              <w:rPr>
                <w:rFonts w:cs="Arial"/>
                <w:lang w:val="pl-PL"/>
              </w:rPr>
            </w:pPr>
            <w:r w:rsidRPr="008367BC">
              <w:rPr>
                <w:rFonts w:cs="Arial"/>
                <w:lang w:val="pl-PL"/>
              </w:rPr>
              <w:t>1. Potwierdzenie przyjęcia powiadomienia o wystąpieniu Wady i określenie sposobu usunięcia Wady</w:t>
            </w:r>
          </w:p>
        </w:tc>
        <w:tc>
          <w:tcPr>
            <w:tcW w:w="3353" w:type="dxa"/>
          </w:tcPr>
          <w:p w14:paraId="36EC6AB4" w14:textId="77777777" w:rsidR="007B538E" w:rsidRPr="008367BC" w:rsidRDefault="007B538E" w:rsidP="00AA74F6">
            <w:pPr>
              <w:pStyle w:val="Tekstpodstawowy"/>
              <w:spacing w:after="120"/>
              <w:ind w:left="0"/>
              <w:rPr>
                <w:rFonts w:cs="Arial"/>
                <w:lang w:val="pl-PL"/>
              </w:rPr>
            </w:pPr>
            <w:r w:rsidRPr="008367BC">
              <w:rPr>
                <w:rFonts w:cs="Arial"/>
                <w:lang w:val="pl-PL"/>
              </w:rPr>
              <w:t>do 24 h od chwili powiadomienia o wystąpieniu Wady</w:t>
            </w:r>
          </w:p>
        </w:tc>
      </w:tr>
      <w:tr w:rsidR="007B538E" w:rsidRPr="008367BC" w14:paraId="2A53E1ED" w14:textId="77777777" w:rsidTr="00AA74F6">
        <w:tc>
          <w:tcPr>
            <w:tcW w:w="1574" w:type="dxa"/>
            <w:vMerge/>
          </w:tcPr>
          <w:p w14:paraId="21E028AF" w14:textId="77777777" w:rsidR="007B538E" w:rsidRPr="008367BC" w:rsidRDefault="007B538E" w:rsidP="00AA74F6">
            <w:pPr>
              <w:pStyle w:val="Tekstpodstawowy"/>
              <w:spacing w:after="120"/>
              <w:ind w:left="0"/>
              <w:rPr>
                <w:rFonts w:cs="Arial"/>
                <w:lang w:val="pl-PL"/>
              </w:rPr>
            </w:pPr>
          </w:p>
        </w:tc>
        <w:tc>
          <w:tcPr>
            <w:tcW w:w="3544" w:type="dxa"/>
          </w:tcPr>
          <w:p w14:paraId="2F8593FF" w14:textId="77777777" w:rsidR="007B538E" w:rsidRPr="008367BC" w:rsidRDefault="007B538E" w:rsidP="00AA74F6">
            <w:pPr>
              <w:pStyle w:val="Tekstpodstawowy"/>
              <w:spacing w:after="120"/>
              <w:ind w:left="0"/>
              <w:rPr>
                <w:rFonts w:cs="Arial"/>
                <w:lang w:val="pl-PL"/>
              </w:rPr>
            </w:pPr>
            <w:r w:rsidRPr="008367BC">
              <w:rPr>
                <w:rFonts w:cs="Arial"/>
                <w:lang w:val="pl-PL"/>
              </w:rPr>
              <w:t>2. Zapewnienie nieprzerwanej dostępności do tunelu i jego przejezdności</w:t>
            </w:r>
          </w:p>
        </w:tc>
        <w:tc>
          <w:tcPr>
            <w:tcW w:w="3353" w:type="dxa"/>
          </w:tcPr>
          <w:p w14:paraId="328B6FFC" w14:textId="77777777" w:rsidR="007B538E" w:rsidRPr="008367BC" w:rsidRDefault="007B538E" w:rsidP="00AA74F6">
            <w:pPr>
              <w:pStyle w:val="Tekstpodstawowy"/>
              <w:spacing w:after="120"/>
              <w:ind w:left="0"/>
              <w:rPr>
                <w:rFonts w:cs="Arial"/>
                <w:lang w:val="pl-PL"/>
              </w:rPr>
            </w:pPr>
            <w:r w:rsidRPr="008367BC">
              <w:rPr>
                <w:rFonts w:cs="Arial"/>
                <w:lang w:val="pl-PL"/>
              </w:rPr>
              <w:t>do 72 h od chwili powiadomienia o wystąpieniu Wady</w:t>
            </w:r>
          </w:p>
        </w:tc>
      </w:tr>
      <w:tr w:rsidR="007B538E" w:rsidRPr="008367BC" w14:paraId="7B31064D" w14:textId="77777777" w:rsidTr="00AA74F6">
        <w:tc>
          <w:tcPr>
            <w:tcW w:w="1574" w:type="dxa"/>
            <w:vMerge/>
          </w:tcPr>
          <w:p w14:paraId="6F0F1098" w14:textId="77777777" w:rsidR="007B538E" w:rsidRPr="008367BC" w:rsidRDefault="007B538E" w:rsidP="00AA74F6">
            <w:pPr>
              <w:pStyle w:val="Tekstpodstawowy"/>
              <w:spacing w:after="120"/>
              <w:ind w:left="0"/>
              <w:rPr>
                <w:rFonts w:cs="Arial"/>
                <w:lang w:val="pl-PL"/>
              </w:rPr>
            </w:pPr>
          </w:p>
        </w:tc>
        <w:tc>
          <w:tcPr>
            <w:tcW w:w="3544" w:type="dxa"/>
          </w:tcPr>
          <w:p w14:paraId="2FFC8CB5" w14:textId="77777777" w:rsidR="007B538E" w:rsidRPr="008367BC" w:rsidRDefault="007B538E" w:rsidP="00AA74F6">
            <w:pPr>
              <w:pStyle w:val="Tekstpodstawowy"/>
              <w:spacing w:after="120"/>
              <w:ind w:left="0"/>
              <w:rPr>
                <w:rFonts w:cs="Arial"/>
                <w:lang w:val="pl-PL"/>
              </w:rPr>
            </w:pPr>
            <w:r w:rsidRPr="008367BC">
              <w:rPr>
                <w:rFonts w:cs="Arial"/>
                <w:lang w:val="pl-PL"/>
              </w:rPr>
              <w:t>3. Całkowite usunięcie Wady</w:t>
            </w:r>
          </w:p>
        </w:tc>
        <w:tc>
          <w:tcPr>
            <w:tcW w:w="3353" w:type="dxa"/>
          </w:tcPr>
          <w:p w14:paraId="06AECE67" w14:textId="77777777" w:rsidR="007B538E" w:rsidRPr="008367BC" w:rsidRDefault="007B538E" w:rsidP="00AA74F6">
            <w:pPr>
              <w:pStyle w:val="Tekstpodstawowy"/>
              <w:spacing w:after="120"/>
              <w:ind w:left="0"/>
              <w:rPr>
                <w:rFonts w:cs="Arial"/>
                <w:lang w:val="pl-PL"/>
              </w:rPr>
            </w:pPr>
            <w:r w:rsidRPr="008367BC">
              <w:rPr>
                <w:rFonts w:cs="Arial"/>
                <w:lang w:val="pl-PL"/>
              </w:rPr>
              <w:t>Zgodnie z terminem wskazanym przez Uprawnionego z Gwarancji w powiadomieniu o wystąpieniu Wady</w:t>
            </w:r>
          </w:p>
        </w:tc>
      </w:tr>
      <w:tr w:rsidR="007B538E" w:rsidRPr="008367BC" w14:paraId="7F50A598" w14:textId="77777777" w:rsidTr="00AA74F6">
        <w:tc>
          <w:tcPr>
            <w:tcW w:w="1574" w:type="dxa"/>
            <w:vMerge w:val="restart"/>
          </w:tcPr>
          <w:p w14:paraId="22CBC3B7" w14:textId="77777777" w:rsidR="007B538E" w:rsidRPr="008367BC" w:rsidRDefault="007B538E" w:rsidP="00AA74F6">
            <w:pPr>
              <w:pStyle w:val="Tekstpodstawowy"/>
              <w:spacing w:after="120"/>
              <w:ind w:left="0"/>
              <w:rPr>
                <w:rFonts w:cs="Arial"/>
                <w:lang w:val="pl-PL"/>
              </w:rPr>
            </w:pPr>
            <w:r w:rsidRPr="008367BC">
              <w:rPr>
                <w:rFonts w:cs="Arial"/>
                <w:lang w:val="pl-PL"/>
              </w:rPr>
              <w:t>Wady Nieistotne</w:t>
            </w:r>
          </w:p>
        </w:tc>
        <w:tc>
          <w:tcPr>
            <w:tcW w:w="3544" w:type="dxa"/>
          </w:tcPr>
          <w:p w14:paraId="7E20142D" w14:textId="77777777" w:rsidR="007B538E" w:rsidRPr="008367BC" w:rsidRDefault="007B538E" w:rsidP="00AA74F6">
            <w:pPr>
              <w:pStyle w:val="Tekstpodstawowy"/>
              <w:spacing w:after="120"/>
              <w:ind w:left="0"/>
              <w:rPr>
                <w:rFonts w:cs="Arial"/>
                <w:lang w:val="pl-PL"/>
              </w:rPr>
            </w:pPr>
            <w:r w:rsidRPr="008367BC">
              <w:rPr>
                <w:rFonts w:cs="Arial"/>
                <w:lang w:val="pl-PL"/>
              </w:rPr>
              <w:t>1. Potwierdzenie przyjęcia powiadomienia o wystąpieniu Wady i określenie sposobu usunięcia Wady</w:t>
            </w:r>
          </w:p>
        </w:tc>
        <w:tc>
          <w:tcPr>
            <w:tcW w:w="3353" w:type="dxa"/>
          </w:tcPr>
          <w:p w14:paraId="2FB2F43D" w14:textId="77777777" w:rsidR="007B538E" w:rsidRPr="008367BC" w:rsidRDefault="007B538E" w:rsidP="00AA74F6">
            <w:pPr>
              <w:pStyle w:val="Tekstpodstawowy"/>
              <w:spacing w:after="120"/>
              <w:ind w:left="0"/>
              <w:rPr>
                <w:rFonts w:cs="Arial"/>
                <w:lang w:val="pl-PL"/>
              </w:rPr>
            </w:pPr>
            <w:r w:rsidRPr="008367BC">
              <w:rPr>
                <w:rFonts w:cs="Arial"/>
                <w:lang w:val="pl-PL"/>
              </w:rPr>
              <w:t>do 72 h od chwili powiadomienia o wystąpieniu Wady</w:t>
            </w:r>
          </w:p>
        </w:tc>
      </w:tr>
      <w:tr w:rsidR="007B538E" w:rsidRPr="008367BC" w14:paraId="5D0BC631" w14:textId="77777777" w:rsidTr="00AA74F6">
        <w:tc>
          <w:tcPr>
            <w:tcW w:w="1574" w:type="dxa"/>
            <w:vMerge/>
          </w:tcPr>
          <w:p w14:paraId="53EDA577" w14:textId="77777777" w:rsidR="007B538E" w:rsidRPr="008367BC" w:rsidRDefault="007B538E" w:rsidP="00AA74F6">
            <w:pPr>
              <w:pStyle w:val="Tekstpodstawowy"/>
              <w:spacing w:after="120"/>
              <w:ind w:left="0"/>
              <w:rPr>
                <w:rFonts w:cs="Arial"/>
                <w:lang w:val="pl-PL"/>
              </w:rPr>
            </w:pPr>
          </w:p>
        </w:tc>
        <w:tc>
          <w:tcPr>
            <w:tcW w:w="3544" w:type="dxa"/>
          </w:tcPr>
          <w:p w14:paraId="5EF199C6" w14:textId="77777777" w:rsidR="007B538E" w:rsidRPr="008367BC" w:rsidRDefault="007B538E" w:rsidP="00AA74F6">
            <w:pPr>
              <w:pStyle w:val="Tekstpodstawowy"/>
              <w:spacing w:after="120"/>
              <w:ind w:left="0"/>
              <w:rPr>
                <w:rFonts w:cs="Arial"/>
                <w:lang w:val="pl-PL"/>
              </w:rPr>
            </w:pPr>
            <w:r w:rsidRPr="008367BC">
              <w:rPr>
                <w:rFonts w:cs="Arial"/>
                <w:lang w:val="pl-PL"/>
              </w:rPr>
              <w:t>2. Całkowite usunięcie Wady</w:t>
            </w:r>
          </w:p>
        </w:tc>
        <w:tc>
          <w:tcPr>
            <w:tcW w:w="3353" w:type="dxa"/>
          </w:tcPr>
          <w:p w14:paraId="75A52F12" w14:textId="77777777" w:rsidR="007B538E" w:rsidRPr="008367BC" w:rsidRDefault="007B538E" w:rsidP="00AA74F6">
            <w:pPr>
              <w:pStyle w:val="Tekstpodstawowy"/>
              <w:spacing w:after="120"/>
              <w:ind w:left="0"/>
              <w:rPr>
                <w:rFonts w:cs="Arial"/>
                <w:lang w:val="pl-PL"/>
              </w:rPr>
            </w:pPr>
            <w:r w:rsidRPr="008367BC">
              <w:rPr>
                <w:rFonts w:cs="Arial"/>
                <w:lang w:val="pl-PL"/>
              </w:rPr>
              <w:t>Zgodnie z terminem wskazanym przez Uprawnionego z Gwarancji w powiadomieniu o wystąpieniu Wady</w:t>
            </w:r>
          </w:p>
        </w:tc>
      </w:tr>
      <w:tr w:rsidR="007B538E" w:rsidRPr="008367BC" w14:paraId="65518D3B" w14:textId="77777777" w:rsidTr="00AA74F6">
        <w:tc>
          <w:tcPr>
            <w:tcW w:w="1574" w:type="dxa"/>
          </w:tcPr>
          <w:p w14:paraId="27BF1AFF" w14:textId="77777777" w:rsidR="007B538E" w:rsidRPr="008367BC" w:rsidRDefault="007B538E" w:rsidP="00AA74F6">
            <w:pPr>
              <w:pStyle w:val="Tekstpodstawowy"/>
              <w:spacing w:after="120"/>
              <w:ind w:left="0"/>
              <w:rPr>
                <w:rFonts w:cs="Arial"/>
                <w:lang w:val="pl-PL"/>
              </w:rPr>
            </w:pPr>
            <w:r w:rsidRPr="008367BC">
              <w:rPr>
                <w:rFonts w:cs="Arial"/>
                <w:lang w:val="pl-PL"/>
              </w:rPr>
              <w:t>Wady w Dokumentach Wykonawcy</w:t>
            </w:r>
          </w:p>
        </w:tc>
        <w:tc>
          <w:tcPr>
            <w:tcW w:w="3544" w:type="dxa"/>
          </w:tcPr>
          <w:p w14:paraId="697B7044" w14:textId="77777777" w:rsidR="007B538E" w:rsidRPr="008367BC" w:rsidRDefault="007B538E" w:rsidP="00AA74F6">
            <w:pPr>
              <w:pStyle w:val="Tekstpodstawowy"/>
              <w:spacing w:after="120"/>
              <w:ind w:left="0"/>
              <w:rPr>
                <w:rFonts w:cs="Arial"/>
                <w:lang w:val="pl-PL"/>
              </w:rPr>
            </w:pPr>
            <w:r w:rsidRPr="008367BC">
              <w:rPr>
                <w:rFonts w:cs="Arial"/>
                <w:lang w:val="pl-PL"/>
              </w:rPr>
              <w:t>Całkowite usunięcie wady</w:t>
            </w:r>
          </w:p>
        </w:tc>
        <w:tc>
          <w:tcPr>
            <w:tcW w:w="3353" w:type="dxa"/>
          </w:tcPr>
          <w:p w14:paraId="3F8ED36B" w14:textId="77777777" w:rsidR="007B538E" w:rsidRPr="008367BC" w:rsidRDefault="007B538E" w:rsidP="00AA74F6">
            <w:pPr>
              <w:pStyle w:val="Tekstpodstawowy"/>
              <w:spacing w:after="120"/>
              <w:ind w:left="0"/>
              <w:rPr>
                <w:rFonts w:cs="Arial"/>
                <w:lang w:val="pl-PL"/>
              </w:rPr>
            </w:pPr>
            <w:r w:rsidRPr="008367BC">
              <w:rPr>
                <w:rFonts w:cs="Arial"/>
                <w:lang w:val="pl-PL"/>
              </w:rPr>
              <w:t>Zgodnie z terminem wskazanym przez Uprawnionego z Gwarancji w powiadomieniu o wystąpieniu Wady</w:t>
            </w:r>
          </w:p>
        </w:tc>
      </w:tr>
    </w:tbl>
    <w:p w14:paraId="04A3F6B7" w14:textId="77777777" w:rsidR="007B538E" w:rsidRPr="008367BC" w:rsidRDefault="007B538E" w:rsidP="007B538E">
      <w:pPr>
        <w:pStyle w:val="Tekstpodstawowy"/>
        <w:numPr>
          <w:ilvl w:val="1"/>
          <w:numId w:val="1"/>
        </w:numPr>
        <w:spacing w:after="120"/>
        <w:ind w:left="850" w:hanging="425"/>
        <w:jc w:val="both"/>
        <w:rPr>
          <w:rFonts w:cs="Arial"/>
          <w:lang w:val="pl-PL"/>
        </w:rPr>
      </w:pPr>
      <w:r w:rsidRPr="008367BC">
        <w:rPr>
          <w:rFonts w:cs="Arial"/>
          <w:lang w:val="pl-PL"/>
        </w:rPr>
        <w:t>Uprawniony z Gwarancji, po przedłożeniu przez Gwaranta pisemnego uzasadnienia, może zmienić terminy wskazane w punkcie 5.1 uwzględniając technologię usuwania Wady, zasady wiedzy technicznej i warunki klimatyczne.</w:t>
      </w:r>
    </w:p>
    <w:p w14:paraId="213C7BA3" w14:textId="77777777" w:rsidR="007B538E" w:rsidRPr="008367BC" w:rsidRDefault="007B538E" w:rsidP="007B538E">
      <w:pPr>
        <w:pStyle w:val="Tekstpodstawowy"/>
        <w:numPr>
          <w:ilvl w:val="1"/>
          <w:numId w:val="1"/>
        </w:numPr>
        <w:spacing w:after="120"/>
        <w:ind w:left="850" w:hanging="425"/>
        <w:jc w:val="both"/>
        <w:rPr>
          <w:rFonts w:cs="Arial"/>
          <w:lang w:val="pl-PL"/>
        </w:rPr>
      </w:pPr>
      <w:r w:rsidRPr="008367BC">
        <w:rPr>
          <w:rFonts w:cs="Arial"/>
          <w:lang w:val="pl-PL"/>
        </w:rPr>
        <w:t>Stwierdzenie usunięcia Wady nastąpi z chwilą niezwłocznego podpisania przez obie Strony protokołu odbioru prac z usuwania Wady, w szczególności zawierającego datę usunięcia Wady. W przypadku braku możliwości podpisania protokołu w dniu, w którym dokonano usunięcia Wady, należy w późniejszym Protokole podać jej faktyczną datę usunięcia.</w:t>
      </w:r>
    </w:p>
    <w:p w14:paraId="285FD5B0" w14:textId="77777777" w:rsidR="007B538E" w:rsidRPr="008367BC" w:rsidRDefault="007B538E" w:rsidP="007B538E">
      <w:pPr>
        <w:pStyle w:val="Tekstpodstawowy"/>
        <w:numPr>
          <w:ilvl w:val="1"/>
          <w:numId w:val="1"/>
        </w:numPr>
        <w:spacing w:after="120"/>
        <w:ind w:left="851" w:hanging="425"/>
        <w:jc w:val="both"/>
        <w:rPr>
          <w:rFonts w:cs="Arial"/>
          <w:lang w:val="pl-PL"/>
        </w:rPr>
      </w:pPr>
      <w:r w:rsidRPr="008367BC">
        <w:rPr>
          <w:rFonts w:cs="Arial"/>
          <w:lang w:val="pl-PL"/>
        </w:rPr>
        <w:t>Jeżeli Gwarant nie wypełni obowiązku usunięcia Wady w terminie, Uprawniony z Gwarancji będzie uprawniony do zlecenia usunięcia Wady podmiotowi trzeciemu na koszt i ryzyko Gwaranta. Powyższe nie wyłącza innych uprawnień Zamawiającego wynikających z tytułu gwarancji jakości i rękojmi za wady oraz przepisów prawa.</w:t>
      </w:r>
    </w:p>
    <w:p w14:paraId="7F95809F" w14:textId="77777777" w:rsidR="007B538E" w:rsidRPr="008367BC" w:rsidRDefault="007B538E" w:rsidP="007B538E">
      <w:pPr>
        <w:pStyle w:val="Tekstpodstawowy"/>
        <w:numPr>
          <w:ilvl w:val="1"/>
          <w:numId w:val="1"/>
        </w:numPr>
        <w:spacing w:after="120"/>
        <w:ind w:left="851" w:hanging="425"/>
        <w:jc w:val="both"/>
        <w:rPr>
          <w:rFonts w:cs="Arial"/>
          <w:lang w:val="pl-PL"/>
        </w:rPr>
      </w:pPr>
      <w:r w:rsidRPr="008367BC">
        <w:rPr>
          <w:rFonts w:cs="Arial"/>
          <w:lang w:val="pl-PL"/>
        </w:rPr>
        <w:t>W przypadku specjalistycznych napraw (np. sieci energetycznych zasilających tunel) muszą być one wykonywane przez wykwalifikowany podmiot wskazany przez gestora sieci, a Wykonawca w takim przypadku jest zobowiązany do pokrycia kosztów wykonanej naprawy.</w:t>
      </w:r>
    </w:p>
    <w:p w14:paraId="2574631A" w14:textId="77777777" w:rsidR="007B538E" w:rsidRPr="008367BC" w:rsidRDefault="007B538E" w:rsidP="007B538E">
      <w:pPr>
        <w:pStyle w:val="Tekstpodstawowy"/>
        <w:spacing w:after="120"/>
        <w:ind w:left="0"/>
        <w:jc w:val="both"/>
        <w:rPr>
          <w:rFonts w:cs="Arial"/>
          <w:lang w:val="pl-PL"/>
        </w:rPr>
      </w:pPr>
    </w:p>
    <w:p w14:paraId="7D0AA25A" w14:textId="77777777" w:rsidR="007B538E" w:rsidRPr="008367BC" w:rsidRDefault="007B538E" w:rsidP="007B538E">
      <w:pPr>
        <w:pStyle w:val="Tekstpodstawowy"/>
        <w:numPr>
          <w:ilvl w:val="0"/>
          <w:numId w:val="1"/>
        </w:numPr>
        <w:spacing w:after="120"/>
        <w:ind w:left="426" w:hanging="426"/>
        <w:jc w:val="both"/>
        <w:rPr>
          <w:rFonts w:cs="Arial"/>
          <w:lang w:val="pl-PL"/>
        </w:rPr>
      </w:pPr>
      <w:r w:rsidRPr="008367BC">
        <w:rPr>
          <w:rFonts w:cs="Arial"/>
          <w:lang w:val="pl-PL"/>
        </w:rPr>
        <w:t>Komunikacja</w:t>
      </w:r>
    </w:p>
    <w:p w14:paraId="1C034298" w14:textId="77777777" w:rsidR="007B538E" w:rsidRPr="008367BC" w:rsidRDefault="007B538E" w:rsidP="007B538E">
      <w:pPr>
        <w:pStyle w:val="Tekstpodstawowy"/>
        <w:numPr>
          <w:ilvl w:val="1"/>
          <w:numId w:val="1"/>
        </w:numPr>
        <w:spacing w:after="120"/>
        <w:ind w:left="851" w:hanging="425"/>
        <w:jc w:val="both"/>
        <w:rPr>
          <w:rFonts w:cs="Arial"/>
          <w:lang w:val="pl-PL"/>
        </w:rPr>
      </w:pPr>
      <w:r w:rsidRPr="008367BC">
        <w:rPr>
          <w:rFonts w:cs="Arial"/>
          <w:lang w:val="pl-PL"/>
        </w:rPr>
        <w:t>Powiadomienia o wystąpieniu Wady dokonuje Uprawniony z Gwarancji poprzez przekazanie odpowiedniej informacji osobie wskazanej przez Gwaranta. Powiadomienie to zawiera opis Wady, kwalifikację jej kategorii zgodnie z punktem 5.1 oraz termin jej usunięcia.</w:t>
      </w:r>
    </w:p>
    <w:p w14:paraId="441E8A46" w14:textId="77777777" w:rsidR="007B538E" w:rsidRPr="008367BC" w:rsidRDefault="007B538E" w:rsidP="007B538E">
      <w:pPr>
        <w:pStyle w:val="Tekstpodstawowy"/>
        <w:numPr>
          <w:ilvl w:val="1"/>
          <w:numId w:val="1"/>
        </w:numPr>
        <w:spacing w:after="120"/>
        <w:ind w:left="851" w:hanging="425"/>
        <w:jc w:val="both"/>
        <w:rPr>
          <w:rFonts w:cs="Arial"/>
          <w:lang w:val="pl-PL"/>
        </w:rPr>
      </w:pPr>
      <w:r w:rsidRPr="008367BC">
        <w:rPr>
          <w:rFonts w:cs="Arial"/>
          <w:lang w:val="pl-PL"/>
        </w:rPr>
        <w:t>Powiadomienie o wystąpieniu Wady może zostać przekazane telefonicznie, w takim wypadku zostanie niezwłocznie potwierdzone pocztą elektroniczną lub faksem. Powiadomienie o wystąpieniu Wady może zostać przekazane ustnie podczas przeglądu gwarancyjnego, w takim wypadku zostanie potwierdzone w protokole z tego przeglądu.</w:t>
      </w:r>
    </w:p>
    <w:p w14:paraId="62AB7D17" w14:textId="77777777" w:rsidR="007B538E" w:rsidRPr="008367BC" w:rsidRDefault="007B538E" w:rsidP="007B538E">
      <w:pPr>
        <w:pStyle w:val="Tekstpodstawowy"/>
        <w:numPr>
          <w:ilvl w:val="1"/>
          <w:numId w:val="1"/>
        </w:numPr>
        <w:spacing w:after="120"/>
        <w:ind w:left="851" w:hanging="425"/>
        <w:jc w:val="both"/>
        <w:rPr>
          <w:rFonts w:cs="Arial"/>
          <w:lang w:val="pl-PL"/>
        </w:rPr>
      </w:pPr>
      <w:r w:rsidRPr="008367BC">
        <w:rPr>
          <w:rFonts w:cs="Arial"/>
          <w:lang w:val="pl-PL"/>
        </w:rPr>
        <w:t xml:space="preserve">Gwarant zobowiązany jest do potwierdzenia otrzymania powiadomienia o wystąpieniu Wady (z wyłączeniem powiadomienia podczas przeglądu gwarancyjnego). </w:t>
      </w:r>
    </w:p>
    <w:p w14:paraId="67EAB724" w14:textId="77777777" w:rsidR="007B538E" w:rsidRPr="008367BC" w:rsidRDefault="007B538E" w:rsidP="007B538E">
      <w:pPr>
        <w:pStyle w:val="Tekstpodstawowy"/>
        <w:numPr>
          <w:ilvl w:val="1"/>
          <w:numId w:val="1"/>
        </w:numPr>
        <w:spacing w:after="120"/>
        <w:ind w:left="851" w:hanging="425"/>
        <w:jc w:val="both"/>
        <w:rPr>
          <w:rFonts w:cs="Arial"/>
          <w:lang w:val="pl-PL"/>
        </w:rPr>
      </w:pPr>
      <w:r w:rsidRPr="008367BC">
        <w:rPr>
          <w:rFonts w:cs="Arial"/>
          <w:lang w:val="pl-PL"/>
        </w:rPr>
        <w:t xml:space="preserve">Dane kontaktowe osób upoważnionych do kontaktów, przekazywania, przyjmowania </w:t>
      </w:r>
      <w:r w:rsidRPr="008367BC">
        <w:rPr>
          <w:rFonts w:cs="Arial"/>
          <w:lang w:val="pl-PL"/>
        </w:rPr>
        <w:lastRenderedPageBreak/>
        <w:t>powiadomień o wystąpieniu Wad i potwierdzania otrzymania powiadomienia o wystąpieniu Wady:</w:t>
      </w:r>
    </w:p>
    <w:p w14:paraId="3280CD79" w14:textId="77777777" w:rsidR="007B538E" w:rsidRPr="008367BC" w:rsidRDefault="007B538E" w:rsidP="007B538E">
      <w:pPr>
        <w:pStyle w:val="Tekstpodstawowy"/>
        <w:spacing w:after="120"/>
        <w:ind w:left="1134" w:hanging="283"/>
        <w:jc w:val="both"/>
        <w:rPr>
          <w:rFonts w:cs="Arial"/>
          <w:lang w:val="pl-PL"/>
        </w:rPr>
      </w:pPr>
      <w:r w:rsidRPr="008367BC">
        <w:rPr>
          <w:rFonts w:cs="Arial"/>
          <w:lang w:val="pl-PL"/>
        </w:rPr>
        <w:t>a)</w:t>
      </w:r>
      <w:r w:rsidRPr="008367BC">
        <w:rPr>
          <w:rFonts w:cs="Arial"/>
          <w:lang w:val="pl-PL"/>
        </w:rPr>
        <w:tab/>
        <w:t>ze strony Gwaranta: ………………, tel. ………………, e-mail ………………, faks ………………;</w:t>
      </w:r>
    </w:p>
    <w:p w14:paraId="12577C4B" w14:textId="77777777" w:rsidR="007B538E" w:rsidRPr="008367BC" w:rsidRDefault="007B538E" w:rsidP="007B538E">
      <w:pPr>
        <w:pStyle w:val="Tekstpodstawowy"/>
        <w:spacing w:after="120"/>
        <w:ind w:left="1134" w:hanging="283"/>
        <w:jc w:val="both"/>
        <w:rPr>
          <w:rFonts w:cs="Arial"/>
          <w:lang w:val="pl-PL"/>
        </w:rPr>
      </w:pPr>
      <w:r w:rsidRPr="008367BC">
        <w:rPr>
          <w:rFonts w:cs="Arial"/>
          <w:lang w:val="pl-PL"/>
        </w:rPr>
        <w:t>b)</w:t>
      </w:r>
      <w:r w:rsidRPr="008367BC">
        <w:rPr>
          <w:rFonts w:cs="Arial"/>
          <w:lang w:val="pl-PL"/>
        </w:rPr>
        <w:tab/>
        <w:t>ze strony Uprawnionego z Gwarancji: ………………, tel. ………………, e-mail ………………, faks ……………….</w:t>
      </w:r>
    </w:p>
    <w:p w14:paraId="4147FAD9" w14:textId="77777777" w:rsidR="007B538E" w:rsidRPr="008367BC" w:rsidRDefault="007B538E" w:rsidP="007B538E">
      <w:pPr>
        <w:pStyle w:val="Tekstpodstawowy"/>
        <w:numPr>
          <w:ilvl w:val="1"/>
          <w:numId w:val="1"/>
        </w:numPr>
        <w:spacing w:after="120"/>
        <w:ind w:left="851" w:hanging="425"/>
        <w:jc w:val="both"/>
        <w:rPr>
          <w:rFonts w:cs="Arial"/>
          <w:lang w:val="pl-PL"/>
        </w:rPr>
      </w:pPr>
      <w:r w:rsidRPr="008367BC">
        <w:rPr>
          <w:rFonts w:cs="Arial"/>
          <w:lang w:val="pl-PL"/>
        </w:rPr>
        <w:t>O każdej zmianie danych wskazanych w punkcie 6.4 Strony obowiązane są informować się niezwłocznie, pod rygorem uznania ostatnio wskazanej osoby jako upoważnionej w myśl niniejszego postanowienia.</w:t>
      </w:r>
    </w:p>
    <w:p w14:paraId="016F3A1E" w14:textId="77777777" w:rsidR="007B538E" w:rsidRPr="008367BC" w:rsidRDefault="007B538E" w:rsidP="007B538E">
      <w:pPr>
        <w:pStyle w:val="Tekstpodstawowy"/>
        <w:numPr>
          <w:ilvl w:val="1"/>
          <w:numId w:val="1"/>
        </w:numPr>
        <w:spacing w:after="120"/>
        <w:ind w:left="851" w:hanging="425"/>
        <w:jc w:val="both"/>
        <w:rPr>
          <w:rFonts w:cs="Arial"/>
          <w:lang w:val="pl-PL"/>
        </w:rPr>
      </w:pPr>
      <w:r w:rsidRPr="008367BC">
        <w:rPr>
          <w:rFonts w:cs="Arial"/>
          <w:lang w:val="pl-PL"/>
        </w:rPr>
        <w:t>Gwarant jest obowiązany w terminie 7 dni od daty złożenia wniosku o ogłoszenie upadłości powiadomić pisemnie o tym fakcie Zamawiającego.</w:t>
      </w:r>
    </w:p>
    <w:p w14:paraId="231537DD" w14:textId="77777777" w:rsidR="007B538E" w:rsidRPr="008367BC" w:rsidRDefault="007B538E" w:rsidP="007B538E">
      <w:pPr>
        <w:pStyle w:val="Tekstpodstawowy"/>
        <w:spacing w:after="120"/>
        <w:ind w:left="0"/>
        <w:jc w:val="both"/>
        <w:rPr>
          <w:rFonts w:cs="Arial"/>
          <w:lang w:val="pl-PL"/>
        </w:rPr>
      </w:pPr>
    </w:p>
    <w:p w14:paraId="000CDE26" w14:textId="77777777" w:rsidR="007B538E" w:rsidRPr="008367BC" w:rsidRDefault="007B538E" w:rsidP="007B538E">
      <w:pPr>
        <w:pStyle w:val="Tekstpodstawowy"/>
        <w:numPr>
          <w:ilvl w:val="0"/>
          <w:numId w:val="1"/>
        </w:numPr>
        <w:spacing w:after="120"/>
        <w:ind w:left="426" w:hanging="426"/>
        <w:jc w:val="both"/>
        <w:rPr>
          <w:rFonts w:cs="Arial"/>
          <w:lang w:val="pl-PL"/>
        </w:rPr>
      </w:pPr>
      <w:r w:rsidRPr="008367BC">
        <w:rPr>
          <w:rFonts w:cs="Arial"/>
          <w:lang w:val="pl-PL"/>
        </w:rPr>
        <w:t>Postanowienia końcowe</w:t>
      </w:r>
    </w:p>
    <w:p w14:paraId="08B31403" w14:textId="77777777" w:rsidR="007B538E" w:rsidRPr="008367BC" w:rsidRDefault="007B538E" w:rsidP="007B538E">
      <w:pPr>
        <w:pStyle w:val="Tekstpodstawowy"/>
        <w:numPr>
          <w:ilvl w:val="1"/>
          <w:numId w:val="1"/>
        </w:numPr>
        <w:spacing w:after="120"/>
        <w:ind w:left="851" w:hanging="425"/>
        <w:jc w:val="both"/>
        <w:rPr>
          <w:rFonts w:cs="Arial"/>
          <w:lang w:val="pl-PL"/>
        </w:rPr>
      </w:pPr>
      <w:r w:rsidRPr="008367BC">
        <w:rPr>
          <w:rFonts w:cs="Arial"/>
          <w:lang w:val="pl-PL"/>
        </w:rPr>
        <w:t>W sprawach nieuregulowanych niniejszą Gwarancją Jakości zastosowanie mają odpowiednie przepisy prawa polskiego, w szczególności ustawy - Kodeks Cywilny oraz ustawy - Prawo Zamówień Publicznych.</w:t>
      </w:r>
    </w:p>
    <w:p w14:paraId="59137BC3" w14:textId="77777777" w:rsidR="007B538E" w:rsidRPr="008367BC" w:rsidRDefault="007B538E" w:rsidP="007B538E">
      <w:pPr>
        <w:pStyle w:val="Tekstpodstawowy"/>
        <w:numPr>
          <w:ilvl w:val="1"/>
          <w:numId w:val="1"/>
        </w:numPr>
        <w:spacing w:after="120"/>
        <w:ind w:left="851" w:hanging="425"/>
        <w:jc w:val="both"/>
        <w:rPr>
          <w:rFonts w:cs="Arial"/>
          <w:lang w:val="pl-PL"/>
        </w:rPr>
      </w:pPr>
      <w:r w:rsidRPr="008367BC">
        <w:rPr>
          <w:rFonts w:cs="Arial"/>
          <w:lang w:val="pl-PL"/>
        </w:rPr>
        <w:t>Niniejsza Gwarancja Jakości stanowi integralną część Umowy.</w:t>
      </w:r>
    </w:p>
    <w:p w14:paraId="5B7FCE52" w14:textId="77777777" w:rsidR="007B538E" w:rsidRPr="008367BC" w:rsidRDefault="007B538E" w:rsidP="007B538E">
      <w:pPr>
        <w:pStyle w:val="Tekstpodstawowy"/>
        <w:numPr>
          <w:ilvl w:val="1"/>
          <w:numId w:val="1"/>
        </w:numPr>
        <w:spacing w:after="120"/>
        <w:ind w:left="851" w:hanging="425"/>
        <w:jc w:val="both"/>
        <w:rPr>
          <w:rFonts w:cs="Arial"/>
          <w:lang w:val="pl-PL"/>
        </w:rPr>
      </w:pPr>
      <w:r w:rsidRPr="008367BC">
        <w:rPr>
          <w:rFonts w:cs="Arial"/>
          <w:lang w:val="pl-PL"/>
        </w:rPr>
        <w:t>Ewentualne zmiany do Gwarancji Jakości wymagają uprzedniej zgody Zamawiającego wyrażonej w formie pisemnej pod rygorem nieważności.</w:t>
      </w:r>
    </w:p>
    <w:p w14:paraId="511B1414" w14:textId="77777777" w:rsidR="007B538E" w:rsidRPr="008367BC" w:rsidRDefault="007B538E" w:rsidP="007B538E">
      <w:pPr>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after="120"/>
        <w:ind w:left="4956"/>
        <w:jc w:val="both"/>
        <w:rPr>
          <w:rFonts w:ascii="Arial" w:hAnsi="Arial" w:cs="Arial"/>
          <w:sz w:val="18"/>
          <w:szCs w:val="18"/>
        </w:rPr>
      </w:pPr>
    </w:p>
    <w:p w14:paraId="16DE1983" w14:textId="77777777" w:rsidR="007B538E" w:rsidRPr="008367BC" w:rsidRDefault="007B538E" w:rsidP="007B538E">
      <w:pPr>
        <w:pStyle w:val="Tekstpodstawowy"/>
        <w:spacing w:after="120"/>
        <w:ind w:left="0"/>
        <w:jc w:val="both"/>
        <w:rPr>
          <w:rFonts w:cs="Arial"/>
          <w:b/>
          <w:lang w:val="pl-PL"/>
        </w:rPr>
      </w:pPr>
      <w:r w:rsidRPr="008367BC">
        <w:rPr>
          <w:rFonts w:cs="Arial"/>
          <w:b/>
          <w:lang w:val="pl-PL"/>
        </w:rPr>
        <w:t>III. CZĘŚĆ SZCZEGÓŁOWA</w:t>
      </w:r>
    </w:p>
    <w:p w14:paraId="61856CB0" w14:textId="77777777" w:rsidR="007B538E" w:rsidRPr="008367BC" w:rsidRDefault="007B538E" w:rsidP="007B538E">
      <w:pPr>
        <w:spacing w:after="120"/>
        <w:jc w:val="both"/>
        <w:rPr>
          <w:rFonts w:ascii="Arial" w:hAnsi="Arial" w:cs="Arial"/>
          <w:sz w:val="18"/>
          <w:szCs w:val="18"/>
          <w:u w:val="single"/>
        </w:rPr>
      </w:pPr>
      <w:r w:rsidRPr="008367BC">
        <w:rPr>
          <w:rFonts w:ascii="Arial" w:hAnsi="Arial" w:cs="Arial"/>
          <w:sz w:val="18"/>
          <w:szCs w:val="18"/>
          <w:u w:val="single"/>
        </w:rPr>
        <w:t xml:space="preserve">Postanowienia ogólne </w:t>
      </w:r>
    </w:p>
    <w:p w14:paraId="56A77B52" w14:textId="77777777" w:rsidR="007B538E" w:rsidRPr="008367BC" w:rsidRDefault="007B538E" w:rsidP="007B538E">
      <w:pPr>
        <w:spacing w:after="120"/>
        <w:jc w:val="both"/>
        <w:rPr>
          <w:rFonts w:ascii="Arial" w:hAnsi="Arial" w:cs="Arial"/>
          <w:sz w:val="18"/>
          <w:szCs w:val="18"/>
        </w:rPr>
      </w:pPr>
      <w:r w:rsidRPr="008367BC">
        <w:rPr>
          <w:rFonts w:ascii="Arial" w:hAnsi="Arial" w:cs="Arial"/>
          <w:sz w:val="18"/>
          <w:szCs w:val="18"/>
        </w:rPr>
        <w:t>Część Szczegółowa obejmuje elementy Przedmiotu Umowy wskazane w poniższych punktach. Wykonawca zobowiązuje się, że poszczególne wymienione elementy zachowają wskazane poniżej cechy funkcjonalne i wskaźniki, z uwzględnieniem określonego w niniejszej Części Gwarancji Jakości stopnia zużycia, wskazanego dla poszczególnych elementów Przedmiotu Umowy. Opisane poniżej cechy funkcjonalne i wskaźniki będą ustalane w oparciu o metodologię opisaną w niniejszej Części.</w:t>
      </w:r>
    </w:p>
    <w:p w14:paraId="7232DB64" w14:textId="77777777" w:rsidR="007B538E" w:rsidRPr="008367BC" w:rsidRDefault="007B538E" w:rsidP="007B538E">
      <w:pPr>
        <w:spacing w:after="120"/>
        <w:jc w:val="both"/>
        <w:rPr>
          <w:rFonts w:ascii="Arial" w:hAnsi="Arial" w:cs="Arial"/>
          <w:sz w:val="18"/>
          <w:szCs w:val="18"/>
        </w:rPr>
      </w:pPr>
      <w:r w:rsidRPr="008367BC">
        <w:rPr>
          <w:rFonts w:ascii="Arial" w:hAnsi="Arial" w:cs="Arial"/>
          <w:sz w:val="18"/>
          <w:szCs w:val="18"/>
        </w:rPr>
        <w:t>Dla elementów nie wymienionych w Części Szczegółowej  Okres Gwarancji Jakości</w:t>
      </w:r>
      <w:r w:rsidRPr="008367BC">
        <w:rPr>
          <w:rFonts w:ascii="Arial" w:hAnsi="Arial" w:cs="Arial"/>
          <w:strike/>
          <w:sz w:val="18"/>
          <w:szCs w:val="18"/>
        </w:rPr>
        <w:t xml:space="preserve"> </w:t>
      </w:r>
      <w:r w:rsidRPr="008367BC">
        <w:rPr>
          <w:rFonts w:ascii="Arial" w:hAnsi="Arial" w:cs="Arial"/>
          <w:sz w:val="18"/>
          <w:szCs w:val="18"/>
        </w:rPr>
        <w:t>wynosi: 3 lata.</w:t>
      </w:r>
    </w:p>
    <w:p w14:paraId="24178D08" w14:textId="77777777" w:rsidR="007B538E" w:rsidRPr="008367BC" w:rsidRDefault="007B538E" w:rsidP="007B538E">
      <w:pPr>
        <w:spacing w:after="120"/>
        <w:jc w:val="both"/>
        <w:rPr>
          <w:rFonts w:ascii="Arial" w:hAnsi="Arial" w:cs="Arial"/>
          <w:sz w:val="18"/>
          <w:szCs w:val="18"/>
        </w:rPr>
      </w:pPr>
      <w:r w:rsidRPr="008367BC">
        <w:rPr>
          <w:rFonts w:ascii="Arial" w:hAnsi="Arial" w:cs="Arial"/>
          <w:sz w:val="18"/>
          <w:szCs w:val="18"/>
        </w:rPr>
        <w:t xml:space="preserve"> </w:t>
      </w:r>
    </w:p>
    <w:p w14:paraId="368A2F91" w14:textId="77777777" w:rsidR="007B538E" w:rsidRPr="008367BC" w:rsidRDefault="007B538E" w:rsidP="007B538E">
      <w:pPr>
        <w:spacing w:after="120"/>
        <w:jc w:val="both"/>
        <w:rPr>
          <w:rFonts w:ascii="Arial" w:hAnsi="Arial" w:cs="Arial"/>
          <w:sz w:val="18"/>
          <w:szCs w:val="18"/>
          <w:u w:val="single"/>
        </w:rPr>
      </w:pPr>
      <w:r w:rsidRPr="008367BC">
        <w:rPr>
          <w:rFonts w:ascii="Arial" w:hAnsi="Arial" w:cs="Arial"/>
          <w:sz w:val="18"/>
          <w:szCs w:val="18"/>
          <w:u w:val="single"/>
        </w:rPr>
        <w:t>Zakres gwarancji dla elementów wymienionych w Części Szczegółowej</w:t>
      </w:r>
    </w:p>
    <w:p w14:paraId="6E4FA856" w14:textId="77777777" w:rsidR="007B538E" w:rsidRPr="008367BC" w:rsidRDefault="007B538E" w:rsidP="007B538E">
      <w:pPr>
        <w:spacing w:after="120"/>
        <w:jc w:val="both"/>
        <w:rPr>
          <w:rFonts w:ascii="Arial" w:hAnsi="Arial" w:cs="Arial"/>
          <w:sz w:val="18"/>
          <w:szCs w:val="18"/>
        </w:rPr>
      </w:pPr>
    </w:p>
    <w:p w14:paraId="00F9E335" w14:textId="77777777" w:rsidR="007B538E" w:rsidRPr="008367BC" w:rsidRDefault="007B538E" w:rsidP="007B538E">
      <w:pPr>
        <w:pStyle w:val="Nagwek2"/>
        <w:keepLines w:val="0"/>
        <w:numPr>
          <w:ilvl w:val="0"/>
          <w:numId w:val="4"/>
        </w:numPr>
        <w:spacing w:before="0" w:after="120"/>
        <w:ind w:left="284" w:hanging="284"/>
        <w:rPr>
          <w:rFonts w:cs="Arial"/>
          <w:sz w:val="18"/>
          <w:szCs w:val="18"/>
        </w:rPr>
      </w:pPr>
      <w:bookmarkStart w:id="1" w:name="_Toc477867188"/>
      <w:r w:rsidRPr="008367BC">
        <w:rPr>
          <w:rFonts w:cs="Arial"/>
          <w:sz w:val="18"/>
          <w:szCs w:val="18"/>
        </w:rPr>
        <w:t>NAWIERZCHNIE</w:t>
      </w:r>
      <w:bookmarkEnd w:id="1"/>
    </w:p>
    <w:p w14:paraId="0D8E1464" w14:textId="77777777" w:rsidR="007B538E" w:rsidRPr="008367BC" w:rsidRDefault="007B538E" w:rsidP="007B538E">
      <w:pPr>
        <w:spacing w:after="120"/>
        <w:jc w:val="both"/>
        <w:rPr>
          <w:rFonts w:ascii="Arial" w:hAnsi="Arial" w:cs="Arial"/>
          <w:color w:val="000000" w:themeColor="text1"/>
          <w:sz w:val="18"/>
          <w:szCs w:val="18"/>
        </w:rPr>
      </w:pPr>
      <w:r w:rsidRPr="008367BC">
        <w:rPr>
          <w:rFonts w:ascii="Arial" w:hAnsi="Arial" w:cs="Arial"/>
          <w:color w:val="000000" w:themeColor="text1"/>
          <w:sz w:val="18"/>
          <w:szCs w:val="18"/>
        </w:rPr>
        <w:t xml:space="preserve">Metodyka pomiaru cech funkcjonalnych określonych w niniejszej Części – o ile nie została określona szczegółowo – będzie zgodna z zasadami wskazanymi w </w:t>
      </w:r>
      <w:r w:rsidRPr="008367BC">
        <w:rPr>
          <w:rFonts w:ascii="Arial" w:hAnsi="Arial" w:cs="Arial"/>
          <w:bCs/>
          <w:color w:val="000000" w:themeColor="text1"/>
          <w:sz w:val="18"/>
          <w:szCs w:val="18"/>
        </w:rPr>
        <w:t>Zarządzeniu nr</w:t>
      </w:r>
      <w:r w:rsidRPr="008367BC">
        <w:rPr>
          <w:rFonts w:ascii="Arial" w:hAnsi="Arial" w:cs="Arial"/>
          <w:b/>
          <w:bCs/>
          <w:color w:val="000000" w:themeColor="text1"/>
          <w:sz w:val="18"/>
          <w:szCs w:val="18"/>
        </w:rPr>
        <w:t xml:space="preserve"> </w:t>
      </w:r>
      <w:r w:rsidRPr="008367BC">
        <w:rPr>
          <w:rFonts w:ascii="Arial" w:hAnsi="Arial" w:cs="Arial"/>
          <w:bCs/>
          <w:color w:val="000000" w:themeColor="text1"/>
          <w:sz w:val="18"/>
          <w:szCs w:val="18"/>
        </w:rPr>
        <w:t>34</w:t>
      </w:r>
      <w:r w:rsidRPr="008367BC">
        <w:rPr>
          <w:rFonts w:ascii="Arial" w:hAnsi="Arial" w:cs="Arial"/>
          <w:color w:val="000000" w:themeColor="text1"/>
          <w:sz w:val="18"/>
          <w:szCs w:val="18"/>
        </w:rPr>
        <w:t> Generalnego Dyrektora Dróg Krajowych i Autostrad z dnia 30 kwietnia 2015 r. w sprawie diagnostyki stanu nawierzchni i jej elementów (Załączniki A i D).</w:t>
      </w:r>
    </w:p>
    <w:p w14:paraId="1EB0F348" w14:textId="77777777" w:rsidR="007B538E" w:rsidRPr="008367BC" w:rsidRDefault="007B538E" w:rsidP="007B538E">
      <w:pPr>
        <w:pStyle w:val="Akapitzlist"/>
        <w:spacing w:after="120"/>
        <w:ind w:left="851"/>
        <w:jc w:val="both"/>
        <w:rPr>
          <w:rFonts w:ascii="Arial" w:hAnsi="Arial" w:cs="Arial"/>
          <w:b/>
          <w:sz w:val="18"/>
          <w:szCs w:val="18"/>
          <w:lang w:val="pl-PL"/>
        </w:rPr>
      </w:pPr>
    </w:p>
    <w:p w14:paraId="0571E3EB" w14:textId="77777777" w:rsidR="007B538E" w:rsidRPr="008367BC" w:rsidRDefault="007B538E" w:rsidP="007B538E">
      <w:pPr>
        <w:numPr>
          <w:ilvl w:val="1"/>
          <w:numId w:val="4"/>
        </w:numPr>
        <w:spacing w:after="120"/>
        <w:ind w:left="567" w:hanging="567"/>
        <w:rPr>
          <w:rFonts w:ascii="Arial" w:hAnsi="Arial" w:cs="Arial"/>
          <w:b/>
          <w:sz w:val="18"/>
          <w:szCs w:val="18"/>
        </w:rPr>
      </w:pPr>
      <w:r w:rsidRPr="008367BC">
        <w:rPr>
          <w:rFonts w:ascii="Arial" w:hAnsi="Arial" w:cs="Arial"/>
          <w:b/>
          <w:sz w:val="18"/>
          <w:szCs w:val="18"/>
        </w:rPr>
        <w:t xml:space="preserve">Nawierzchnie podatne i półsztywne </w:t>
      </w:r>
    </w:p>
    <w:p w14:paraId="7D416687" w14:textId="77777777" w:rsidR="007B538E" w:rsidRPr="008367BC" w:rsidRDefault="007B538E" w:rsidP="007B538E">
      <w:pPr>
        <w:numPr>
          <w:ilvl w:val="2"/>
          <w:numId w:val="4"/>
        </w:numPr>
        <w:spacing w:after="120"/>
        <w:ind w:left="709" w:hanging="709"/>
        <w:jc w:val="both"/>
        <w:rPr>
          <w:rFonts w:ascii="Arial" w:hAnsi="Arial" w:cs="Arial"/>
          <w:sz w:val="18"/>
          <w:szCs w:val="18"/>
        </w:rPr>
      </w:pPr>
      <w:r w:rsidRPr="008367BC">
        <w:rPr>
          <w:rFonts w:ascii="Arial" w:hAnsi="Arial" w:cs="Arial"/>
          <w:sz w:val="18"/>
          <w:szCs w:val="18"/>
        </w:rPr>
        <w:t>Okres Gwarancji Jakości</w:t>
      </w:r>
    </w:p>
    <w:p w14:paraId="51073B6C" w14:textId="77777777" w:rsidR="007B538E" w:rsidRPr="008367BC" w:rsidRDefault="007B538E" w:rsidP="007B538E">
      <w:pPr>
        <w:spacing w:after="120"/>
        <w:jc w:val="both"/>
        <w:rPr>
          <w:rFonts w:ascii="Arial" w:hAnsi="Arial" w:cs="Arial"/>
          <w:sz w:val="18"/>
          <w:szCs w:val="18"/>
        </w:rPr>
      </w:pPr>
      <w:r w:rsidRPr="008367BC">
        <w:rPr>
          <w:rFonts w:ascii="Arial" w:hAnsi="Arial" w:cs="Arial"/>
          <w:sz w:val="18"/>
          <w:szCs w:val="18"/>
        </w:rPr>
        <w:t>Okres Gwarancji Jakości dla:</w:t>
      </w:r>
    </w:p>
    <w:p w14:paraId="1D7F6F89" w14:textId="77777777" w:rsidR="007B538E" w:rsidRPr="008367BC" w:rsidRDefault="007B538E" w:rsidP="007B538E">
      <w:pPr>
        <w:numPr>
          <w:ilvl w:val="0"/>
          <w:numId w:val="14"/>
        </w:numPr>
        <w:spacing w:after="120"/>
        <w:jc w:val="both"/>
        <w:rPr>
          <w:rFonts w:ascii="Arial" w:hAnsi="Arial" w:cs="Arial"/>
          <w:sz w:val="18"/>
          <w:szCs w:val="18"/>
        </w:rPr>
      </w:pPr>
      <w:r w:rsidRPr="008367BC">
        <w:rPr>
          <w:rFonts w:ascii="Arial" w:hAnsi="Arial" w:cs="Arial"/>
          <w:sz w:val="18"/>
          <w:szCs w:val="18"/>
        </w:rPr>
        <w:t>warstwy ścieralnej wynosi 5 lat gwarancji,</w:t>
      </w:r>
    </w:p>
    <w:p w14:paraId="3CE69151" w14:textId="77777777" w:rsidR="007B538E" w:rsidRPr="008367BC" w:rsidRDefault="007B538E" w:rsidP="007B538E">
      <w:pPr>
        <w:numPr>
          <w:ilvl w:val="0"/>
          <w:numId w:val="14"/>
        </w:numPr>
        <w:spacing w:after="120"/>
        <w:jc w:val="both"/>
        <w:rPr>
          <w:rFonts w:ascii="Arial" w:hAnsi="Arial" w:cs="Arial"/>
          <w:sz w:val="18"/>
          <w:szCs w:val="18"/>
        </w:rPr>
      </w:pPr>
      <w:r w:rsidRPr="008367BC">
        <w:rPr>
          <w:rFonts w:ascii="Arial" w:hAnsi="Arial" w:cs="Arial"/>
          <w:sz w:val="18"/>
          <w:szCs w:val="18"/>
        </w:rPr>
        <w:t>pozostałych warstw konstrukcji nawierzchni podatnych i półsztywnych wynosi: 10 lat gwarancji .</w:t>
      </w:r>
    </w:p>
    <w:p w14:paraId="7461B341" w14:textId="77777777" w:rsidR="007B538E" w:rsidRPr="008367BC" w:rsidRDefault="007B538E" w:rsidP="007B538E">
      <w:pPr>
        <w:spacing w:after="120"/>
        <w:jc w:val="both"/>
        <w:rPr>
          <w:rFonts w:ascii="Arial" w:hAnsi="Arial" w:cs="Arial"/>
          <w:sz w:val="18"/>
          <w:szCs w:val="18"/>
        </w:rPr>
      </w:pPr>
    </w:p>
    <w:p w14:paraId="6326B4DB" w14:textId="77777777" w:rsidR="007B538E" w:rsidRPr="008367BC" w:rsidRDefault="007B538E" w:rsidP="007B538E">
      <w:pPr>
        <w:numPr>
          <w:ilvl w:val="2"/>
          <w:numId w:val="4"/>
        </w:numPr>
        <w:spacing w:after="120"/>
        <w:ind w:left="709" w:hanging="709"/>
        <w:jc w:val="both"/>
        <w:rPr>
          <w:rFonts w:ascii="Arial" w:hAnsi="Arial" w:cs="Arial"/>
          <w:sz w:val="18"/>
          <w:szCs w:val="18"/>
        </w:rPr>
      </w:pPr>
      <w:r w:rsidRPr="008367BC">
        <w:rPr>
          <w:rFonts w:ascii="Arial" w:hAnsi="Arial" w:cs="Arial"/>
          <w:sz w:val="18"/>
          <w:szCs w:val="18"/>
        </w:rPr>
        <w:t>Stan nawierzchni</w:t>
      </w:r>
    </w:p>
    <w:p w14:paraId="5EF5134B" w14:textId="77777777" w:rsidR="007B538E" w:rsidRPr="008367BC" w:rsidRDefault="007B538E" w:rsidP="007B538E">
      <w:pPr>
        <w:spacing w:after="120"/>
        <w:jc w:val="both"/>
        <w:rPr>
          <w:rFonts w:ascii="Arial" w:hAnsi="Arial" w:cs="Arial"/>
          <w:sz w:val="18"/>
          <w:szCs w:val="18"/>
        </w:rPr>
      </w:pPr>
      <w:r w:rsidRPr="008367BC">
        <w:rPr>
          <w:rFonts w:ascii="Arial" w:hAnsi="Arial" w:cs="Arial"/>
          <w:sz w:val="18"/>
          <w:szCs w:val="18"/>
        </w:rPr>
        <w:t xml:space="preserve">Ocenę stanu nawierzchni wykonuje się podczas objazdów wykonywanych przez pracowników Zamawiającego (np. Rejonów), przez Komisje powoływane przez Zamawiającego jak również przy użyciu pojazdów umożliwiających </w:t>
      </w:r>
      <w:proofErr w:type="spellStart"/>
      <w:r w:rsidRPr="008367BC">
        <w:rPr>
          <w:rFonts w:ascii="Arial" w:hAnsi="Arial" w:cs="Arial"/>
          <w:sz w:val="18"/>
          <w:szCs w:val="18"/>
        </w:rPr>
        <w:t>fotorejestrację</w:t>
      </w:r>
      <w:proofErr w:type="spellEnd"/>
      <w:r w:rsidRPr="008367BC">
        <w:rPr>
          <w:rFonts w:ascii="Arial" w:hAnsi="Arial" w:cs="Arial"/>
          <w:sz w:val="18"/>
          <w:szCs w:val="18"/>
        </w:rPr>
        <w:t xml:space="preserve"> w trybie ciągłym, wyposażonych w oprogramowanie do automatycznego rozpoznawania i klasyfikowania rodzajów uszkodzeń.</w:t>
      </w:r>
    </w:p>
    <w:p w14:paraId="7AF20700" w14:textId="77777777" w:rsidR="007B538E" w:rsidRPr="008367BC" w:rsidRDefault="007B538E" w:rsidP="007B538E">
      <w:pPr>
        <w:spacing w:after="120"/>
        <w:jc w:val="both"/>
        <w:rPr>
          <w:rFonts w:ascii="Arial" w:hAnsi="Arial" w:cs="Arial"/>
          <w:sz w:val="18"/>
          <w:szCs w:val="18"/>
        </w:rPr>
      </w:pPr>
      <w:r w:rsidRPr="008367BC">
        <w:rPr>
          <w:rFonts w:ascii="Arial" w:hAnsi="Arial" w:cs="Arial"/>
          <w:sz w:val="18"/>
          <w:szCs w:val="18"/>
        </w:rPr>
        <w:t xml:space="preserve">Wszystkie zauważone usterki  muszą być usuwane na bieżąco,  po uprzednim powiadomieniu Wykonawcy, wg programu naprawczego przedstawionego przez Wykonawcę i zaakceptowanego przez Zamawiającego. </w:t>
      </w:r>
    </w:p>
    <w:p w14:paraId="32037447" w14:textId="77777777" w:rsidR="007B538E" w:rsidRPr="008367BC" w:rsidRDefault="007B538E" w:rsidP="007B538E">
      <w:pPr>
        <w:spacing w:after="120"/>
        <w:jc w:val="both"/>
        <w:rPr>
          <w:rFonts w:ascii="Arial" w:hAnsi="Arial" w:cs="Arial"/>
          <w:sz w:val="18"/>
          <w:szCs w:val="18"/>
        </w:rPr>
      </w:pPr>
      <w:r w:rsidRPr="008367BC">
        <w:rPr>
          <w:rFonts w:ascii="Arial" w:hAnsi="Arial" w:cs="Arial"/>
          <w:sz w:val="18"/>
          <w:szCs w:val="18"/>
        </w:rPr>
        <w:t>Sposób naprawy nawierzchni na drogach klasy A i S:</w:t>
      </w:r>
    </w:p>
    <w:p w14:paraId="49908336" w14:textId="77777777" w:rsidR="007B538E" w:rsidRPr="008367BC" w:rsidRDefault="007B538E" w:rsidP="007B538E">
      <w:pPr>
        <w:numPr>
          <w:ilvl w:val="0"/>
          <w:numId w:val="12"/>
        </w:numPr>
        <w:spacing w:after="120"/>
        <w:ind w:left="426" w:hanging="426"/>
        <w:jc w:val="both"/>
        <w:rPr>
          <w:rFonts w:ascii="Arial" w:hAnsi="Arial" w:cs="Arial"/>
          <w:sz w:val="18"/>
          <w:szCs w:val="18"/>
        </w:rPr>
      </w:pPr>
      <w:r w:rsidRPr="008367BC">
        <w:rPr>
          <w:rFonts w:ascii="Arial" w:hAnsi="Arial" w:cs="Arial"/>
          <w:sz w:val="18"/>
          <w:szCs w:val="18"/>
        </w:rPr>
        <w:lastRenderedPageBreak/>
        <w:t>naprawy z powodu: wykruszenia, spękania siatkowego, odkształcenia poprzecznego, należy wykonać metodą wymiany tj. wyfrezować istniejąca warstwę lub warstwy i wbudować nową mieszankę mineralno-asfaltową wyprodukowaną na tej samej recepcie (tym samym kruszywie, asfalcie itp.) jak na ciągu głównym i o tym samym kolorze.</w:t>
      </w:r>
    </w:p>
    <w:p w14:paraId="48068A08" w14:textId="77777777" w:rsidR="007B538E" w:rsidRPr="008367BC" w:rsidRDefault="007B538E" w:rsidP="007B538E">
      <w:pPr>
        <w:spacing w:after="120"/>
        <w:ind w:left="426"/>
        <w:jc w:val="both"/>
        <w:rPr>
          <w:rFonts w:ascii="Arial" w:hAnsi="Arial" w:cs="Arial"/>
          <w:sz w:val="18"/>
          <w:szCs w:val="18"/>
        </w:rPr>
      </w:pPr>
      <w:r w:rsidRPr="008367BC">
        <w:rPr>
          <w:rFonts w:ascii="Arial" w:hAnsi="Arial" w:cs="Arial"/>
          <w:sz w:val="18"/>
          <w:szCs w:val="18"/>
        </w:rPr>
        <w:t>Wbudowana pojedyncza łata nie może mieć mniejszych wymiarów jak:</w:t>
      </w:r>
    </w:p>
    <w:p w14:paraId="3DEA1F76" w14:textId="77777777" w:rsidR="007B538E" w:rsidRPr="008367BC" w:rsidRDefault="007B538E" w:rsidP="007B538E">
      <w:pPr>
        <w:numPr>
          <w:ilvl w:val="0"/>
          <w:numId w:val="13"/>
        </w:numPr>
        <w:spacing w:after="120"/>
        <w:jc w:val="both"/>
        <w:rPr>
          <w:rFonts w:ascii="Arial" w:hAnsi="Arial" w:cs="Arial"/>
          <w:sz w:val="18"/>
          <w:szCs w:val="18"/>
        </w:rPr>
      </w:pPr>
      <w:r w:rsidRPr="008367BC">
        <w:rPr>
          <w:rFonts w:ascii="Arial" w:hAnsi="Arial" w:cs="Arial"/>
          <w:sz w:val="18"/>
          <w:szCs w:val="18"/>
        </w:rPr>
        <w:t>szerokość minimalna: jeden pas ruchu między liniami oznakowania poziomego. W przypadku gdy uszkodzenie jest na granicy pasów to naprawa musi być wykonana na obu pasch ruchu (np. pas wewnętrzny i zewnętrzny łącznie z opaską bezpieczeństwa lub pas wewnętrzny i pas awaryjny. Wówczas należy również odtworzyć brakujące oznakowanie poziome,</w:t>
      </w:r>
    </w:p>
    <w:p w14:paraId="59C5C171" w14:textId="77777777" w:rsidR="007B538E" w:rsidRPr="008367BC" w:rsidRDefault="007B538E" w:rsidP="007B538E">
      <w:pPr>
        <w:numPr>
          <w:ilvl w:val="0"/>
          <w:numId w:val="13"/>
        </w:numPr>
        <w:spacing w:after="120"/>
        <w:jc w:val="both"/>
        <w:rPr>
          <w:rFonts w:ascii="Arial" w:hAnsi="Arial" w:cs="Arial"/>
          <w:sz w:val="18"/>
          <w:szCs w:val="18"/>
        </w:rPr>
      </w:pPr>
      <w:r w:rsidRPr="008367BC">
        <w:rPr>
          <w:rFonts w:ascii="Arial" w:hAnsi="Arial" w:cs="Arial"/>
          <w:sz w:val="18"/>
          <w:szCs w:val="18"/>
        </w:rPr>
        <w:t>długość minimalna: 20 m,</w:t>
      </w:r>
    </w:p>
    <w:p w14:paraId="129AE226" w14:textId="77777777" w:rsidR="007B538E" w:rsidRPr="008367BC" w:rsidRDefault="007B538E" w:rsidP="007B538E">
      <w:pPr>
        <w:numPr>
          <w:ilvl w:val="0"/>
          <w:numId w:val="13"/>
        </w:numPr>
        <w:spacing w:after="120"/>
        <w:jc w:val="both"/>
        <w:rPr>
          <w:rFonts w:ascii="Arial" w:hAnsi="Arial" w:cs="Arial"/>
          <w:sz w:val="18"/>
          <w:szCs w:val="18"/>
        </w:rPr>
      </w:pPr>
      <w:r w:rsidRPr="008367BC">
        <w:rPr>
          <w:rFonts w:ascii="Arial" w:hAnsi="Arial" w:cs="Arial"/>
          <w:sz w:val="18"/>
          <w:szCs w:val="18"/>
        </w:rPr>
        <w:t>jeżeli odległość między łatami jest mniejsza niż 20 m, to należy je łączyć ze sobą w jeden ciąg.</w:t>
      </w:r>
    </w:p>
    <w:p w14:paraId="5AE273F7" w14:textId="77777777" w:rsidR="007B538E" w:rsidRPr="008367BC" w:rsidRDefault="007B538E" w:rsidP="007B538E">
      <w:pPr>
        <w:numPr>
          <w:ilvl w:val="0"/>
          <w:numId w:val="12"/>
        </w:numPr>
        <w:spacing w:after="120"/>
        <w:ind w:left="426" w:hanging="426"/>
        <w:jc w:val="both"/>
        <w:rPr>
          <w:rFonts w:ascii="Arial" w:hAnsi="Arial" w:cs="Arial"/>
          <w:sz w:val="18"/>
          <w:szCs w:val="18"/>
        </w:rPr>
      </w:pPr>
      <w:r w:rsidRPr="008367BC">
        <w:rPr>
          <w:rFonts w:ascii="Arial" w:hAnsi="Arial" w:cs="Arial"/>
          <w:sz w:val="18"/>
          <w:szCs w:val="18"/>
        </w:rPr>
        <w:t xml:space="preserve">Pęknięcia poprzeczne i podłużne, należy naprawiać w sposób podany w </w:t>
      </w:r>
      <w:proofErr w:type="spellStart"/>
      <w:r w:rsidRPr="008367BC">
        <w:rPr>
          <w:rFonts w:ascii="Arial" w:hAnsi="Arial" w:cs="Arial"/>
          <w:sz w:val="18"/>
          <w:szCs w:val="18"/>
        </w:rPr>
        <w:t>ppkt</w:t>
      </w:r>
      <w:proofErr w:type="spellEnd"/>
      <w:r w:rsidRPr="008367BC">
        <w:rPr>
          <w:rFonts w:ascii="Arial" w:hAnsi="Arial" w:cs="Arial"/>
          <w:sz w:val="18"/>
          <w:szCs w:val="18"/>
        </w:rPr>
        <w:t>. a),</w:t>
      </w:r>
    </w:p>
    <w:p w14:paraId="3C87B25B" w14:textId="77777777" w:rsidR="007B538E" w:rsidRPr="008367BC" w:rsidRDefault="007B538E" w:rsidP="007B538E">
      <w:pPr>
        <w:numPr>
          <w:ilvl w:val="0"/>
          <w:numId w:val="12"/>
        </w:numPr>
        <w:spacing w:after="120"/>
        <w:ind w:left="426" w:hanging="426"/>
        <w:jc w:val="both"/>
        <w:rPr>
          <w:rFonts w:ascii="Arial" w:hAnsi="Arial" w:cs="Arial"/>
          <w:sz w:val="18"/>
          <w:szCs w:val="18"/>
        </w:rPr>
      </w:pPr>
      <w:r w:rsidRPr="008367BC">
        <w:rPr>
          <w:rFonts w:ascii="Arial" w:hAnsi="Arial" w:cs="Arial"/>
          <w:sz w:val="18"/>
          <w:szCs w:val="18"/>
        </w:rPr>
        <w:t xml:space="preserve">Każdą naprawę należy poprzedzić wykonaniem odwiertu, w celu sprawdzenia na jaką głębokość uszkodzenie sięga. Jeżeli powodem uszkodzenia są warstwy niżej leżące (stwierdzenie na podstawie wyników badań), należy również te warstwy  wymienić. </w:t>
      </w:r>
    </w:p>
    <w:p w14:paraId="3CD22EEA" w14:textId="77777777" w:rsidR="007B538E" w:rsidRPr="008367BC" w:rsidRDefault="007B538E" w:rsidP="007B538E">
      <w:pPr>
        <w:spacing w:after="120"/>
        <w:jc w:val="both"/>
        <w:rPr>
          <w:rFonts w:ascii="Arial" w:hAnsi="Arial" w:cs="Arial"/>
          <w:sz w:val="18"/>
          <w:szCs w:val="18"/>
        </w:rPr>
      </w:pPr>
    </w:p>
    <w:p w14:paraId="665EA963" w14:textId="77777777" w:rsidR="007B538E" w:rsidRPr="008367BC" w:rsidRDefault="007B538E" w:rsidP="007B538E">
      <w:pPr>
        <w:numPr>
          <w:ilvl w:val="2"/>
          <w:numId w:val="4"/>
        </w:numPr>
        <w:spacing w:after="120"/>
        <w:ind w:left="709" w:hanging="709"/>
        <w:jc w:val="both"/>
        <w:rPr>
          <w:rFonts w:ascii="Arial" w:hAnsi="Arial" w:cs="Arial"/>
          <w:sz w:val="18"/>
          <w:szCs w:val="18"/>
        </w:rPr>
      </w:pPr>
      <w:r w:rsidRPr="008367BC">
        <w:rPr>
          <w:rFonts w:ascii="Arial" w:hAnsi="Arial" w:cs="Arial"/>
          <w:sz w:val="18"/>
          <w:szCs w:val="18"/>
        </w:rPr>
        <w:t>Wymagane parametry cech powierzchniowych nawierzchni przed końcem okresu gwarancyjnego</w:t>
      </w:r>
    </w:p>
    <w:p w14:paraId="589527C2" w14:textId="77777777" w:rsidR="007B538E" w:rsidRPr="008367BC" w:rsidRDefault="007B538E" w:rsidP="007B538E">
      <w:pPr>
        <w:spacing w:after="120"/>
        <w:jc w:val="both"/>
        <w:rPr>
          <w:rFonts w:ascii="Arial" w:hAnsi="Arial" w:cs="Arial"/>
          <w:sz w:val="18"/>
          <w:szCs w:val="18"/>
        </w:rPr>
      </w:pPr>
      <w:r w:rsidRPr="008367BC">
        <w:rPr>
          <w:rFonts w:ascii="Arial" w:hAnsi="Arial" w:cs="Arial"/>
          <w:sz w:val="18"/>
          <w:szCs w:val="18"/>
        </w:rPr>
        <w:t xml:space="preserve">Na trzy miesiące przed końcem okresu gwarancyjnego dopuszcza się by stan nawierzchni odpowiadał wymaganiom określonym w tabeli 2. </w:t>
      </w:r>
    </w:p>
    <w:p w14:paraId="6D2333C9" w14:textId="77777777" w:rsidR="007B538E" w:rsidRPr="008367BC" w:rsidRDefault="007B538E" w:rsidP="007B538E">
      <w:pPr>
        <w:tabs>
          <w:tab w:val="left" w:pos="1134"/>
        </w:tabs>
        <w:spacing w:after="120"/>
        <w:ind w:left="1134" w:hanging="1134"/>
        <w:jc w:val="both"/>
        <w:rPr>
          <w:rFonts w:ascii="Arial" w:hAnsi="Arial" w:cs="Arial"/>
          <w:sz w:val="18"/>
          <w:szCs w:val="18"/>
        </w:rPr>
      </w:pPr>
      <w:r w:rsidRPr="008367BC">
        <w:rPr>
          <w:rFonts w:ascii="Arial" w:hAnsi="Arial" w:cs="Arial"/>
          <w:sz w:val="18"/>
          <w:szCs w:val="18"/>
        </w:rPr>
        <w:t>Tabela 2.</w:t>
      </w:r>
      <w:r w:rsidRPr="008367BC">
        <w:rPr>
          <w:rFonts w:ascii="Arial" w:hAnsi="Arial" w:cs="Arial"/>
          <w:sz w:val="18"/>
          <w:szCs w:val="18"/>
        </w:rPr>
        <w:tab/>
        <w:t>Wymagane parametry cech powierzchniowych nawierzchni, liczone jako procent powierzchni na 1 km jezdni,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1872"/>
      </w:tblGrid>
      <w:tr w:rsidR="007B538E" w:rsidRPr="008367BC" w14:paraId="4B23C50D" w14:textId="77777777" w:rsidTr="00AA74F6">
        <w:tc>
          <w:tcPr>
            <w:tcW w:w="6663" w:type="dxa"/>
            <w:shd w:val="clear" w:color="auto" w:fill="auto"/>
            <w:vAlign w:val="center"/>
          </w:tcPr>
          <w:p w14:paraId="7A869EF3" w14:textId="77777777" w:rsidR="007B538E" w:rsidRPr="008367BC" w:rsidRDefault="007B538E" w:rsidP="00AA74F6">
            <w:pPr>
              <w:spacing w:after="120"/>
              <w:jc w:val="center"/>
              <w:rPr>
                <w:rFonts w:ascii="Arial" w:hAnsi="Arial" w:cs="Arial"/>
                <w:sz w:val="18"/>
                <w:szCs w:val="18"/>
              </w:rPr>
            </w:pPr>
            <w:r w:rsidRPr="008367BC">
              <w:rPr>
                <w:rFonts w:ascii="Arial" w:hAnsi="Arial" w:cs="Arial"/>
                <w:sz w:val="18"/>
                <w:szCs w:val="18"/>
              </w:rPr>
              <w:t>Parametr</w:t>
            </w:r>
          </w:p>
        </w:tc>
        <w:tc>
          <w:tcPr>
            <w:tcW w:w="1872" w:type="dxa"/>
            <w:shd w:val="clear" w:color="auto" w:fill="auto"/>
            <w:vAlign w:val="center"/>
          </w:tcPr>
          <w:p w14:paraId="198CD713" w14:textId="77777777" w:rsidR="007B538E" w:rsidRPr="008367BC" w:rsidRDefault="007B538E" w:rsidP="00AA74F6">
            <w:pPr>
              <w:spacing w:after="120"/>
              <w:jc w:val="center"/>
              <w:rPr>
                <w:rFonts w:ascii="Arial" w:hAnsi="Arial" w:cs="Arial"/>
                <w:sz w:val="18"/>
                <w:szCs w:val="18"/>
              </w:rPr>
            </w:pPr>
            <w:r w:rsidRPr="008367BC">
              <w:rPr>
                <w:rFonts w:ascii="Arial" w:hAnsi="Arial" w:cs="Arial"/>
                <w:sz w:val="18"/>
                <w:szCs w:val="18"/>
              </w:rPr>
              <w:t>Wartość [%]</w:t>
            </w:r>
          </w:p>
        </w:tc>
      </w:tr>
      <w:tr w:rsidR="007B538E" w:rsidRPr="008367BC" w14:paraId="43A258CA" w14:textId="77777777" w:rsidTr="00AA74F6">
        <w:tc>
          <w:tcPr>
            <w:tcW w:w="6663" w:type="dxa"/>
            <w:shd w:val="clear" w:color="auto" w:fill="auto"/>
          </w:tcPr>
          <w:p w14:paraId="364B52B3" w14:textId="77777777" w:rsidR="007B538E" w:rsidRPr="008367BC" w:rsidRDefault="007B538E" w:rsidP="00AA74F6">
            <w:pPr>
              <w:spacing w:after="120"/>
              <w:jc w:val="both"/>
              <w:rPr>
                <w:rFonts w:ascii="Arial" w:hAnsi="Arial" w:cs="Arial"/>
                <w:sz w:val="18"/>
                <w:szCs w:val="18"/>
              </w:rPr>
            </w:pPr>
            <w:r w:rsidRPr="008367BC">
              <w:rPr>
                <w:rFonts w:ascii="Arial" w:hAnsi="Arial" w:cs="Arial"/>
                <w:sz w:val="18"/>
                <w:szCs w:val="18"/>
              </w:rPr>
              <w:t>Spękania siatkowe, skupiska spękań i pęknięcia pojedyncze</w:t>
            </w:r>
          </w:p>
        </w:tc>
        <w:tc>
          <w:tcPr>
            <w:tcW w:w="1872" w:type="dxa"/>
            <w:shd w:val="clear" w:color="auto" w:fill="auto"/>
            <w:vAlign w:val="center"/>
          </w:tcPr>
          <w:p w14:paraId="02B061BE" w14:textId="77777777" w:rsidR="007B538E" w:rsidRPr="008367BC" w:rsidRDefault="007B538E" w:rsidP="00AA74F6">
            <w:pPr>
              <w:spacing w:after="120"/>
              <w:jc w:val="center"/>
              <w:rPr>
                <w:rFonts w:ascii="Arial" w:hAnsi="Arial" w:cs="Arial"/>
                <w:sz w:val="18"/>
                <w:szCs w:val="18"/>
              </w:rPr>
            </w:pPr>
            <w:r w:rsidRPr="008367BC">
              <w:rPr>
                <w:rFonts w:ascii="Arial" w:hAnsi="Arial" w:cs="Arial"/>
                <w:sz w:val="18"/>
                <w:szCs w:val="18"/>
              </w:rPr>
              <w:t>≤1</w:t>
            </w:r>
          </w:p>
        </w:tc>
      </w:tr>
      <w:tr w:rsidR="007B538E" w:rsidRPr="008367BC" w14:paraId="233DE62F" w14:textId="77777777" w:rsidTr="00AA74F6">
        <w:tc>
          <w:tcPr>
            <w:tcW w:w="6663" w:type="dxa"/>
            <w:shd w:val="clear" w:color="auto" w:fill="auto"/>
          </w:tcPr>
          <w:p w14:paraId="46352204" w14:textId="77777777" w:rsidR="007B538E" w:rsidRPr="008367BC" w:rsidRDefault="007B538E" w:rsidP="00AA74F6">
            <w:pPr>
              <w:spacing w:after="120"/>
              <w:jc w:val="both"/>
              <w:rPr>
                <w:rFonts w:ascii="Arial" w:hAnsi="Arial" w:cs="Arial"/>
                <w:sz w:val="18"/>
                <w:szCs w:val="18"/>
              </w:rPr>
            </w:pPr>
            <w:r w:rsidRPr="008367BC">
              <w:rPr>
                <w:rFonts w:ascii="Arial" w:hAnsi="Arial" w:cs="Arial"/>
                <w:sz w:val="18"/>
                <w:szCs w:val="18"/>
              </w:rPr>
              <w:t>Łaty</w:t>
            </w:r>
          </w:p>
        </w:tc>
        <w:tc>
          <w:tcPr>
            <w:tcW w:w="1872" w:type="dxa"/>
            <w:shd w:val="clear" w:color="auto" w:fill="auto"/>
            <w:vAlign w:val="center"/>
          </w:tcPr>
          <w:p w14:paraId="7F66BBC1" w14:textId="77777777" w:rsidR="007B538E" w:rsidRPr="008367BC" w:rsidRDefault="007B538E" w:rsidP="00AA74F6">
            <w:pPr>
              <w:spacing w:after="120"/>
              <w:jc w:val="center"/>
              <w:rPr>
                <w:rFonts w:ascii="Arial" w:hAnsi="Arial" w:cs="Arial"/>
                <w:sz w:val="18"/>
                <w:szCs w:val="18"/>
              </w:rPr>
            </w:pPr>
            <w:r w:rsidRPr="008367BC">
              <w:rPr>
                <w:rFonts w:ascii="Arial" w:hAnsi="Arial" w:cs="Arial"/>
                <w:sz w:val="18"/>
                <w:szCs w:val="18"/>
              </w:rPr>
              <w:t>≤ 1</w:t>
            </w:r>
          </w:p>
        </w:tc>
      </w:tr>
    </w:tbl>
    <w:p w14:paraId="18B45159" w14:textId="77777777" w:rsidR="007B538E" w:rsidRPr="008367BC" w:rsidRDefault="007B538E" w:rsidP="007B538E">
      <w:pPr>
        <w:spacing w:after="120"/>
        <w:jc w:val="both"/>
        <w:rPr>
          <w:rFonts w:ascii="Arial" w:hAnsi="Arial" w:cs="Arial"/>
          <w:sz w:val="18"/>
          <w:szCs w:val="18"/>
        </w:rPr>
      </w:pPr>
      <w:r w:rsidRPr="008367BC">
        <w:rPr>
          <w:rFonts w:ascii="Arial" w:hAnsi="Arial" w:cs="Arial"/>
          <w:sz w:val="18"/>
          <w:szCs w:val="18"/>
        </w:rPr>
        <w:t>W przypadku przekroczenia wymienionych w tabeli 2 wskaźników, Wykonawca jest  zobowiązany przedstawić Zamawiającemu program naprawczy na wymianę całego zakresu nawierzchni z wadami wymienionymi w tabeli.</w:t>
      </w:r>
    </w:p>
    <w:p w14:paraId="58A1869E" w14:textId="77777777" w:rsidR="007B538E" w:rsidRPr="008367BC" w:rsidRDefault="007B538E" w:rsidP="007B538E">
      <w:pPr>
        <w:numPr>
          <w:ilvl w:val="2"/>
          <w:numId w:val="4"/>
        </w:numPr>
        <w:spacing w:after="120"/>
        <w:ind w:left="709" w:hanging="709"/>
        <w:jc w:val="both"/>
        <w:rPr>
          <w:rFonts w:ascii="Arial" w:hAnsi="Arial" w:cs="Arial"/>
          <w:sz w:val="18"/>
          <w:szCs w:val="18"/>
        </w:rPr>
      </w:pPr>
      <w:r w:rsidRPr="008367BC">
        <w:rPr>
          <w:rFonts w:ascii="Arial" w:hAnsi="Arial" w:cs="Arial"/>
          <w:sz w:val="18"/>
          <w:szCs w:val="18"/>
        </w:rPr>
        <w:t>Parametry nawierzchni</w:t>
      </w:r>
    </w:p>
    <w:p w14:paraId="47B63995" w14:textId="77777777" w:rsidR="007B538E" w:rsidRPr="008367BC" w:rsidRDefault="007B538E" w:rsidP="007B538E">
      <w:pPr>
        <w:numPr>
          <w:ilvl w:val="3"/>
          <w:numId w:val="4"/>
        </w:numPr>
        <w:spacing w:after="120"/>
        <w:ind w:left="851" w:hanging="851"/>
        <w:jc w:val="both"/>
        <w:rPr>
          <w:rFonts w:ascii="Arial" w:hAnsi="Arial" w:cs="Arial"/>
          <w:sz w:val="18"/>
          <w:szCs w:val="18"/>
        </w:rPr>
      </w:pPr>
      <w:r w:rsidRPr="008367BC">
        <w:rPr>
          <w:rFonts w:ascii="Arial" w:hAnsi="Arial" w:cs="Arial"/>
          <w:sz w:val="18"/>
          <w:szCs w:val="18"/>
        </w:rPr>
        <w:t>Szorstkość nawierzchni (miarodajny współczynnik tarcia)</w:t>
      </w:r>
    </w:p>
    <w:p w14:paraId="34CBEF55" w14:textId="77777777" w:rsidR="007B538E" w:rsidRPr="008367BC" w:rsidRDefault="007B538E" w:rsidP="007B538E">
      <w:pPr>
        <w:tabs>
          <w:tab w:val="left" w:pos="1134"/>
        </w:tabs>
        <w:spacing w:after="120"/>
        <w:jc w:val="both"/>
        <w:rPr>
          <w:rFonts w:ascii="Arial" w:hAnsi="Arial" w:cs="Arial"/>
          <w:sz w:val="18"/>
          <w:szCs w:val="18"/>
        </w:rPr>
      </w:pPr>
      <w:r w:rsidRPr="008367BC">
        <w:rPr>
          <w:rFonts w:ascii="Arial" w:hAnsi="Arial" w:cs="Arial"/>
          <w:sz w:val="18"/>
          <w:szCs w:val="18"/>
        </w:rPr>
        <w:t>Tabela 3.</w:t>
      </w:r>
      <w:r w:rsidRPr="008367BC">
        <w:rPr>
          <w:rFonts w:ascii="Arial" w:hAnsi="Arial" w:cs="Arial"/>
          <w:sz w:val="18"/>
          <w:szCs w:val="18"/>
        </w:rPr>
        <w:tab/>
        <w:t>Wymagane wartości miarodajnego współczynnika tarcia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961"/>
        <w:gridCol w:w="2581"/>
      </w:tblGrid>
      <w:tr w:rsidR="007B538E" w:rsidRPr="008367BC" w14:paraId="23C5330E" w14:textId="77777777" w:rsidTr="00AA74F6">
        <w:tc>
          <w:tcPr>
            <w:tcW w:w="993" w:type="dxa"/>
            <w:shd w:val="clear" w:color="auto" w:fill="auto"/>
            <w:vAlign w:val="center"/>
          </w:tcPr>
          <w:p w14:paraId="0EA9606E" w14:textId="77777777" w:rsidR="007B538E" w:rsidRPr="008367BC" w:rsidRDefault="007B538E" w:rsidP="00AA74F6">
            <w:pPr>
              <w:spacing w:after="120"/>
              <w:jc w:val="center"/>
              <w:rPr>
                <w:rFonts w:ascii="Arial" w:hAnsi="Arial" w:cs="Arial"/>
                <w:sz w:val="18"/>
                <w:szCs w:val="18"/>
              </w:rPr>
            </w:pPr>
            <w:r w:rsidRPr="008367BC">
              <w:rPr>
                <w:rFonts w:ascii="Arial" w:hAnsi="Arial" w:cs="Arial"/>
                <w:sz w:val="18"/>
                <w:szCs w:val="18"/>
              </w:rPr>
              <w:t>Klasa drogi</w:t>
            </w:r>
          </w:p>
        </w:tc>
        <w:tc>
          <w:tcPr>
            <w:tcW w:w="4961" w:type="dxa"/>
            <w:shd w:val="clear" w:color="auto" w:fill="auto"/>
            <w:vAlign w:val="center"/>
          </w:tcPr>
          <w:p w14:paraId="12E5198E" w14:textId="77777777" w:rsidR="007B538E" w:rsidRPr="008367BC" w:rsidRDefault="007B538E" w:rsidP="00AA74F6">
            <w:pPr>
              <w:spacing w:after="120"/>
              <w:jc w:val="center"/>
              <w:rPr>
                <w:rFonts w:ascii="Arial" w:hAnsi="Arial" w:cs="Arial"/>
                <w:sz w:val="18"/>
                <w:szCs w:val="18"/>
              </w:rPr>
            </w:pPr>
            <w:r w:rsidRPr="008367BC">
              <w:rPr>
                <w:rFonts w:ascii="Arial" w:hAnsi="Arial" w:cs="Arial"/>
                <w:sz w:val="18"/>
                <w:szCs w:val="18"/>
              </w:rPr>
              <w:t>Element nawierzchni</w:t>
            </w:r>
          </w:p>
        </w:tc>
        <w:tc>
          <w:tcPr>
            <w:tcW w:w="2581" w:type="dxa"/>
            <w:shd w:val="clear" w:color="auto" w:fill="auto"/>
            <w:vAlign w:val="center"/>
          </w:tcPr>
          <w:p w14:paraId="7A121BE6" w14:textId="77777777" w:rsidR="007B538E" w:rsidRPr="008367BC" w:rsidRDefault="007B538E" w:rsidP="00AA74F6">
            <w:pPr>
              <w:spacing w:after="120"/>
              <w:jc w:val="center"/>
              <w:rPr>
                <w:rFonts w:ascii="Arial" w:hAnsi="Arial" w:cs="Arial"/>
                <w:sz w:val="18"/>
                <w:szCs w:val="18"/>
              </w:rPr>
            </w:pPr>
            <w:r w:rsidRPr="008367BC">
              <w:rPr>
                <w:rFonts w:ascii="Arial" w:hAnsi="Arial" w:cs="Arial"/>
                <w:sz w:val="18"/>
                <w:szCs w:val="18"/>
              </w:rPr>
              <w:t>Miarodajny współczynnik tarcia*</w:t>
            </w:r>
          </w:p>
        </w:tc>
      </w:tr>
      <w:tr w:rsidR="007B538E" w:rsidRPr="008367BC" w14:paraId="4DDDDF09" w14:textId="77777777" w:rsidTr="00AA74F6">
        <w:tc>
          <w:tcPr>
            <w:tcW w:w="993" w:type="dxa"/>
            <w:vMerge w:val="restart"/>
            <w:shd w:val="clear" w:color="auto" w:fill="auto"/>
            <w:vAlign w:val="center"/>
          </w:tcPr>
          <w:p w14:paraId="5F445429" w14:textId="77777777" w:rsidR="007B538E" w:rsidRPr="008367BC" w:rsidRDefault="007B538E" w:rsidP="00AA74F6">
            <w:pPr>
              <w:spacing w:after="120"/>
              <w:jc w:val="center"/>
              <w:rPr>
                <w:rFonts w:ascii="Arial" w:hAnsi="Arial" w:cs="Arial"/>
                <w:sz w:val="18"/>
                <w:szCs w:val="18"/>
              </w:rPr>
            </w:pPr>
            <w:r w:rsidRPr="008367BC">
              <w:rPr>
                <w:rFonts w:ascii="Arial" w:hAnsi="Arial" w:cs="Arial"/>
                <w:sz w:val="18"/>
                <w:szCs w:val="18"/>
              </w:rPr>
              <w:t>A, S</w:t>
            </w:r>
          </w:p>
        </w:tc>
        <w:tc>
          <w:tcPr>
            <w:tcW w:w="4961" w:type="dxa"/>
            <w:shd w:val="clear" w:color="auto" w:fill="auto"/>
            <w:vAlign w:val="center"/>
          </w:tcPr>
          <w:p w14:paraId="5B5D8BF3" w14:textId="77777777" w:rsidR="007B538E" w:rsidRPr="008367BC" w:rsidRDefault="007B538E" w:rsidP="00AA74F6">
            <w:pPr>
              <w:spacing w:after="120"/>
              <w:rPr>
                <w:rFonts w:ascii="Arial" w:hAnsi="Arial" w:cs="Arial"/>
                <w:sz w:val="18"/>
                <w:szCs w:val="18"/>
              </w:rPr>
            </w:pPr>
            <w:r w:rsidRPr="008367BC">
              <w:rPr>
                <w:rFonts w:ascii="Arial" w:hAnsi="Arial" w:cs="Arial"/>
                <w:sz w:val="18"/>
                <w:szCs w:val="18"/>
              </w:rPr>
              <w:t>Pasy ruchu zasadnicze, dodatkowe, awaryjne</w:t>
            </w:r>
          </w:p>
        </w:tc>
        <w:tc>
          <w:tcPr>
            <w:tcW w:w="2581" w:type="dxa"/>
            <w:shd w:val="clear" w:color="auto" w:fill="auto"/>
            <w:vAlign w:val="center"/>
          </w:tcPr>
          <w:p w14:paraId="2ECEC810" w14:textId="77777777" w:rsidR="007B538E" w:rsidRPr="008367BC" w:rsidRDefault="007B538E" w:rsidP="00AA74F6">
            <w:pPr>
              <w:spacing w:after="120"/>
              <w:jc w:val="center"/>
              <w:rPr>
                <w:rFonts w:ascii="Arial" w:hAnsi="Arial" w:cs="Arial"/>
                <w:sz w:val="18"/>
                <w:szCs w:val="18"/>
              </w:rPr>
            </w:pPr>
            <w:r w:rsidRPr="008367BC">
              <w:rPr>
                <w:rFonts w:ascii="Arial" w:hAnsi="Arial" w:cs="Arial"/>
                <w:sz w:val="18"/>
                <w:szCs w:val="18"/>
              </w:rPr>
              <w:t>≥ 0,40</w:t>
            </w:r>
          </w:p>
        </w:tc>
      </w:tr>
      <w:tr w:rsidR="007B538E" w:rsidRPr="008367BC" w14:paraId="70D1DF9A" w14:textId="77777777" w:rsidTr="00AA74F6">
        <w:tc>
          <w:tcPr>
            <w:tcW w:w="993" w:type="dxa"/>
            <w:vMerge/>
            <w:shd w:val="clear" w:color="auto" w:fill="auto"/>
            <w:vAlign w:val="center"/>
          </w:tcPr>
          <w:p w14:paraId="53C23236" w14:textId="77777777" w:rsidR="007B538E" w:rsidRPr="008367BC" w:rsidRDefault="007B538E" w:rsidP="00AA74F6">
            <w:pPr>
              <w:spacing w:after="120"/>
              <w:jc w:val="center"/>
              <w:rPr>
                <w:rFonts w:ascii="Arial" w:hAnsi="Arial" w:cs="Arial"/>
                <w:sz w:val="18"/>
                <w:szCs w:val="18"/>
              </w:rPr>
            </w:pPr>
          </w:p>
        </w:tc>
        <w:tc>
          <w:tcPr>
            <w:tcW w:w="4961" w:type="dxa"/>
            <w:shd w:val="clear" w:color="auto" w:fill="auto"/>
            <w:vAlign w:val="center"/>
          </w:tcPr>
          <w:p w14:paraId="5C0D2891" w14:textId="77777777" w:rsidR="007B538E" w:rsidRPr="008367BC" w:rsidRDefault="007B538E" w:rsidP="00AA74F6">
            <w:pPr>
              <w:spacing w:after="120"/>
              <w:rPr>
                <w:rFonts w:ascii="Arial" w:hAnsi="Arial" w:cs="Arial"/>
                <w:sz w:val="18"/>
                <w:szCs w:val="18"/>
              </w:rPr>
            </w:pPr>
            <w:r w:rsidRPr="008367BC">
              <w:rPr>
                <w:rFonts w:ascii="Arial" w:hAnsi="Arial" w:cs="Arial"/>
                <w:sz w:val="18"/>
                <w:szCs w:val="18"/>
              </w:rPr>
              <w:t>Pasy włączania i wyłączania, jezdnie łącznic</w:t>
            </w:r>
          </w:p>
        </w:tc>
        <w:tc>
          <w:tcPr>
            <w:tcW w:w="2581" w:type="dxa"/>
            <w:shd w:val="clear" w:color="auto" w:fill="auto"/>
            <w:vAlign w:val="center"/>
          </w:tcPr>
          <w:p w14:paraId="7FDA328A" w14:textId="77777777" w:rsidR="007B538E" w:rsidRPr="008367BC" w:rsidRDefault="007B538E" w:rsidP="00AA74F6">
            <w:pPr>
              <w:spacing w:after="120"/>
              <w:jc w:val="center"/>
              <w:rPr>
                <w:rFonts w:ascii="Arial" w:hAnsi="Arial" w:cs="Arial"/>
                <w:sz w:val="18"/>
                <w:szCs w:val="18"/>
              </w:rPr>
            </w:pPr>
            <w:r w:rsidRPr="008367BC">
              <w:rPr>
                <w:rFonts w:ascii="Arial" w:hAnsi="Arial" w:cs="Arial"/>
                <w:sz w:val="18"/>
                <w:szCs w:val="18"/>
              </w:rPr>
              <w:t>≥ 0,42</w:t>
            </w:r>
          </w:p>
        </w:tc>
      </w:tr>
      <w:tr w:rsidR="007B538E" w:rsidRPr="008367BC" w14:paraId="60A88B97" w14:textId="77777777" w:rsidTr="00AA74F6">
        <w:tc>
          <w:tcPr>
            <w:tcW w:w="993" w:type="dxa"/>
            <w:shd w:val="clear" w:color="auto" w:fill="auto"/>
            <w:vAlign w:val="center"/>
          </w:tcPr>
          <w:p w14:paraId="3E7C005F" w14:textId="77777777" w:rsidR="007B538E" w:rsidRPr="008367BC" w:rsidRDefault="007B538E" w:rsidP="00AA74F6">
            <w:pPr>
              <w:spacing w:after="120"/>
              <w:jc w:val="center"/>
              <w:rPr>
                <w:rFonts w:ascii="Arial" w:hAnsi="Arial" w:cs="Arial"/>
                <w:sz w:val="18"/>
                <w:szCs w:val="18"/>
              </w:rPr>
            </w:pPr>
            <w:r w:rsidRPr="008367BC">
              <w:rPr>
                <w:rFonts w:ascii="Arial" w:hAnsi="Arial" w:cs="Arial"/>
                <w:sz w:val="18"/>
                <w:szCs w:val="18"/>
              </w:rPr>
              <w:t>GP, G</w:t>
            </w:r>
          </w:p>
        </w:tc>
        <w:tc>
          <w:tcPr>
            <w:tcW w:w="4961" w:type="dxa"/>
            <w:shd w:val="clear" w:color="auto" w:fill="auto"/>
            <w:vAlign w:val="center"/>
          </w:tcPr>
          <w:p w14:paraId="362705DE" w14:textId="77777777" w:rsidR="007B538E" w:rsidRPr="008367BC" w:rsidRDefault="007B538E" w:rsidP="00AA74F6">
            <w:pPr>
              <w:spacing w:after="120"/>
              <w:rPr>
                <w:rFonts w:ascii="Arial" w:hAnsi="Arial" w:cs="Arial"/>
                <w:sz w:val="18"/>
                <w:szCs w:val="18"/>
              </w:rPr>
            </w:pPr>
            <w:r w:rsidRPr="008367BC">
              <w:rPr>
                <w:rFonts w:ascii="Arial" w:hAnsi="Arial" w:cs="Arial"/>
                <w:sz w:val="18"/>
                <w:szCs w:val="18"/>
              </w:rPr>
              <w:t>Pasy ruchu, pasy dodatkowe, utwardzone pobocza</w:t>
            </w:r>
          </w:p>
        </w:tc>
        <w:tc>
          <w:tcPr>
            <w:tcW w:w="2581" w:type="dxa"/>
            <w:shd w:val="clear" w:color="auto" w:fill="auto"/>
            <w:vAlign w:val="center"/>
          </w:tcPr>
          <w:p w14:paraId="1218E8D2" w14:textId="77777777" w:rsidR="007B538E" w:rsidRPr="008367BC" w:rsidRDefault="007B538E" w:rsidP="00AA74F6">
            <w:pPr>
              <w:spacing w:after="120"/>
              <w:jc w:val="center"/>
              <w:rPr>
                <w:rFonts w:ascii="Arial" w:hAnsi="Arial" w:cs="Arial"/>
                <w:sz w:val="18"/>
                <w:szCs w:val="18"/>
              </w:rPr>
            </w:pPr>
            <w:r w:rsidRPr="008367BC">
              <w:rPr>
                <w:rFonts w:ascii="Arial" w:hAnsi="Arial" w:cs="Arial"/>
                <w:sz w:val="18"/>
                <w:szCs w:val="18"/>
              </w:rPr>
              <w:t>≥ 0,36</w:t>
            </w:r>
          </w:p>
        </w:tc>
      </w:tr>
    </w:tbl>
    <w:p w14:paraId="3D000EC0" w14:textId="77777777" w:rsidR="007B538E" w:rsidRPr="008367BC" w:rsidRDefault="007B538E" w:rsidP="007B538E">
      <w:pPr>
        <w:tabs>
          <w:tab w:val="left" w:pos="426"/>
        </w:tabs>
        <w:spacing w:after="120"/>
        <w:ind w:left="426" w:hanging="426"/>
        <w:jc w:val="both"/>
        <w:rPr>
          <w:rFonts w:ascii="Arial" w:hAnsi="Arial" w:cs="Arial"/>
          <w:sz w:val="18"/>
          <w:szCs w:val="18"/>
        </w:rPr>
      </w:pPr>
      <w:r w:rsidRPr="008367BC">
        <w:rPr>
          <w:rFonts w:ascii="Arial" w:hAnsi="Arial" w:cs="Arial"/>
          <w:sz w:val="18"/>
          <w:szCs w:val="18"/>
        </w:rPr>
        <w:t>*</w:t>
      </w:r>
      <w:r w:rsidRPr="008367BC">
        <w:rPr>
          <w:rFonts w:ascii="Arial" w:hAnsi="Arial" w:cs="Arial"/>
          <w:sz w:val="18"/>
          <w:szCs w:val="18"/>
        </w:rPr>
        <w:tab/>
      </w:r>
      <w:r w:rsidRPr="008367BC">
        <w:rPr>
          <w:rFonts w:ascii="Arial" w:hAnsi="Arial" w:cs="Arial"/>
          <w:i/>
          <w:sz w:val="18"/>
          <w:szCs w:val="18"/>
        </w:rPr>
        <w:t>podane wartości odnoszą się do miarodajnego współczynnika tarcia</w:t>
      </w:r>
      <w:r w:rsidRPr="008367BC">
        <w:rPr>
          <w:rFonts w:ascii="Arial" w:hAnsi="Arial" w:cs="Arial"/>
          <w:i/>
          <w:sz w:val="18"/>
          <w:szCs w:val="18"/>
          <w:vertAlign w:val="superscript"/>
        </w:rPr>
        <w:footnoteReference w:id="1"/>
      </w:r>
      <w:r w:rsidRPr="008367BC">
        <w:rPr>
          <w:rFonts w:ascii="Arial" w:hAnsi="Arial" w:cs="Arial"/>
          <w:i/>
          <w:sz w:val="18"/>
          <w:szCs w:val="18"/>
        </w:rPr>
        <w:t xml:space="preserve"> pomierzonego oponą PIARC 165/15R przy prędkości 60 km/h</w:t>
      </w:r>
      <w:r w:rsidRPr="008367BC">
        <w:rPr>
          <w:rFonts w:ascii="Arial" w:hAnsi="Arial" w:cs="Arial"/>
          <w:sz w:val="18"/>
          <w:szCs w:val="18"/>
        </w:rPr>
        <w:t>.</w:t>
      </w:r>
    </w:p>
    <w:p w14:paraId="4642AEFF" w14:textId="77777777" w:rsidR="007B538E" w:rsidRPr="008367BC" w:rsidRDefault="007B538E" w:rsidP="007B538E">
      <w:pPr>
        <w:spacing w:after="120"/>
        <w:jc w:val="both"/>
        <w:rPr>
          <w:rFonts w:ascii="Arial" w:hAnsi="Arial" w:cs="Arial"/>
          <w:sz w:val="18"/>
          <w:szCs w:val="18"/>
        </w:rPr>
      </w:pPr>
      <w:r w:rsidRPr="008367BC">
        <w:rPr>
          <w:rFonts w:ascii="Arial" w:hAnsi="Arial" w:cs="Arial"/>
          <w:sz w:val="18"/>
          <w:szCs w:val="18"/>
        </w:rPr>
        <w:t xml:space="preserve">Miarodajny współczynnik tarcia wyznacza się dla kilometrowych odcinków dróg. </w:t>
      </w:r>
      <w:r w:rsidRPr="008367BC">
        <w:rPr>
          <w:rFonts w:ascii="Arial" w:hAnsi="Arial" w:cs="Arial"/>
          <w:sz w:val="18"/>
          <w:szCs w:val="18"/>
        </w:rPr>
        <w:br/>
        <w:t xml:space="preserve">W przypadkach szczególnych, jak początek i koniec drogi, wartość miarodajną  wyznacza się dla odcinków o długości 500 ÷ 1499 m. </w:t>
      </w:r>
    </w:p>
    <w:p w14:paraId="07403EE9" w14:textId="77777777" w:rsidR="007B538E" w:rsidRPr="008367BC" w:rsidRDefault="007B538E" w:rsidP="007B538E">
      <w:pPr>
        <w:spacing w:after="120"/>
        <w:jc w:val="both"/>
        <w:rPr>
          <w:rFonts w:ascii="Arial" w:hAnsi="Arial" w:cs="Arial"/>
          <w:sz w:val="18"/>
          <w:szCs w:val="18"/>
        </w:rPr>
      </w:pPr>
      <w:r w:rsidRPr="008367BC">
        <w:rPr>
          <w:rFonts w:ascii="Arial" w:hAnsi="Arial" w:cs="Arial"/>
          <w:sz w:val="18"/>
          <w:szCs w:val="18"/>
        </w:rPr>
        <w:t>W tabeli 3 podano minimalne dopuszczalne wartości wskaźnika, poniżej których należy zastosować program naprawczy.</w:t>
      </w:r>
    </w:p>
    <w:p w14:paraId="46BA350E" w14:textId="77777777" w:rsidR="007B538E" w:rsidRPr="008367BC" w:rsidRDefault="007B538E" w:rsidP="007B538E">
      <w:pPr>
        <w:spacing w:after="120"/>
        <w:jc w:val="both"/>
        <w:rPr>
          <w:rFonts w:ascii="Arial" w:hAnsi="Arial" w:cs="Arial"/>
          <w:sz w:val="18"/>
          <w:szCs w:val="18"/>
        </w:rPr>
      </w:pPr>
      <w:r w:rsidRPr="008367BC">
        <w:rPr>
          <w:rFonts w:ascii="Arial" w:hAnsi="Arial" w:cs="Arial"/>
          <w:sz w:val="18"/>
          <w:szCs w:val="18"/>
        </w:rPr>
        <w:t>Pomiar współczynnika tarcia powinien być określony na mokrej nawierzchni przy całkowitym poślizgu opony testowej. Pomiar wykonuje się w śladzie prawego lub lewego koła nie rzadziej niż co 50 m na nawierzchni zwilżanej wodą w ilości 0,5 l/m2, przy 100% poślizgu opony testowej rowkowanej (</w:t>
      </w:r>
      <w:proofErr w:type="spellStart"/>
      <w:r w:rsidRPr="008367BC">
        <w:rPr>
          <w:rFonts w:ascii="Arial" w:hAnsi="Arial" w:cs="Arial"/>
          <w:sz w:val="18"/>
          <w:szCs w:val="18"/>
        </w:rPr>
        <w:t>ribbed</w:t>
      </w:r>
      <w:proofErr w:type="spellEnd"/>
      <w:r w:rsidRPr="008367BC">
        <w:rPr>
          <w:rFonts w:ascii="Arial" w:hAnsi="Arial" w:cs="Arial"/>
          <w:sz w:val="18"/>
          <w:szCs w:val="18"/>
        </w:rPr>
        <w:t xml:space="preserve"> </w:t>
      </w:r>
      <w:proofErr w:type="spellStart"/>
      <w:r w:rsidRPr="008367BC">
        <w:rPr>
          <w:rFonts w:ascii="Arial" w:hAnsi="Arial" w:cs="Arial"/>
          <w:sz w:val="18"/>
          <w:szCs w:val="18"/>
        </w:rPr>
        <w:t>tyre</w:t>
      </w:r>
      <w:proofErr w:type="spellEnd"/>
      <w:r w:rsidRPr="008367BC">
        <w:rPr>
          <w:rFonts w:ascii="Arial" w:hAnsi="Arial" w:cs="Arial"/>
          <w:sz w:val="18"/>
          <w:szCs w:val="18"/>
        </w:rPr>
        <w:t xml:space="preserve">) rozmiaru 165 R 15 - zalecanej przez World Road </w:t>
      </w:r>
      <w:proofErr w:type="spellStart"/>
      <w:r w:rsidRPr="008367BC">
        <w:rPr>
          <w:rFonts w:ascii="Arial" w:hAnsi="Arial" w:cs="Arial"/>
          <w:sz w:val="18"/>
          <w:szCs w:val="18"/>
        </w:rPr>
        <w:t>Association</w:t>
      </w:r>
      <w:proofErr w:type="spellEnd"/>
      <w:r w:rsidRPr="008367BC">
        <w:rPr>
          <w:rFonts w:ascii="Arial" w:hAnsi="Arial" w:cs="Arial"/>
          <w:sz w:val="18"/>
          <w:szCs w:val="18"/>
        </w:rPr>
        <w:t xml:space="preserve"> PIARC, lub za pomocą innej wiarygodnej metody równoważnej, jeśli dysponuje się sprawdzoną zależnością korelacyjną umożliwiającą przeliczenie wyników pomiarów. Pomiary powinny być wykonywane w temperaturze otoczenia od 5ºC do 30ºC, na czystej nawierzchni.</w:t>
      </w:r>
    </w:p>
    <w:p w14:paraId="70922DB4" w14:textId="77777777" w:rsidR="007B538E" w:rsidRPr="008367BC" w:rsidRDefault="007B538E" w:rsidP="007B538E">
      <w:pPr>
        <w:spacing w:after="120"/>
        <w:jc w:val="both"/>
        <w:rPr>
          <w:rFonts w:ascii="Arial" w:hAnsi="Arial" w:cs="Arial"/>
          <w:sz w:val="18"/>
          <w:szCs w:val="18"/>
        </w:rPr>
      </w:pPr>
    </w:p>
    <w:p w14:paraId="32F04781" w14:textId="77777777" w:rsidR="007B538E" w:rsidRPr="008367BC" w:rsidRDefault="007B538E" w:rsidP="007B538E">
      <w:pPr>
        <w:numPr>
          <w:ilvl w:val="3"/>
          <w:numId w:val="4"/>
        </w:numPr>
        <w:spacing w:after="120"/>
        <w:ind w:left="851" w:hanging="851"/>
        <w:jc w:val="both"/>
        <w:rPr>
          <w:rFonts w:ascii="Arial" w:hAnsi="Arial" w:cs="Arial"/>
          <w:sz w:val="18"/>
          <w:szCs w:val="18"/>
        </w:rPr>
      </w:pPr>
      <w:r w:rsidRPr="008367BC">
        <w:rPr>
          <w:rFonts w:ascii="Arial" w:hAnsi="Arial" w:cs="Arial"/>
          <w:sz w:val="18"/>
          <w:szCs w:val="18"/>
        </w:rPr>
        <w:t>Równość poprzeczna</w:t>
      </w:r>
    </w:p>
    <w:p w14:paraId="46F3F61B" w14:textId="77777777" w:rsidR="007B538E" w:rsidRPr="008367BC" w:rsidRDefault="007B538E" w:rsidP="007B538E">
      <w:pPr>
        <w:tabs>
          <w:tab w:val="left" w:pos="1134"/>
        </w:tabs>
        <w:spacing w:after="120"/>
        <w:jc w:val="both"/>
        <w:rPr>
          <w:rFonts w:ascii="Arial" w:hAnsi="Arial" w:cs="Arial"/>
          <w:sz w:val="18"/>
          <w:szCs w:val="18"/>
        </w:rPr>
      </w:pPr>
      <w:r w:rsidRPr="008367BC">
        <w:rPr>
          <w:rFonts w:ascii="Arial" w:hAnsi="Arial" w:cs="Arial"/>
          <w:sz w:val="18"/>
          <w:szCs w:val="18"/>
        </w:rPr>
        <w:t>Tabela 4.</w:t>
      </w:r>
      <w:r w:rsidRPr="008367BC">
        <w:rPr>
          <w:rFonts w:ascii="Arial" w:hAnsi="Arial" w:cs="Arial"/>
          <w:sz w:val="18"/>
          <w:szCs w:val="18"/>
        </w:rPr>
        <w:tab/>
        <w:t xml:space="preserve">Wymagane wartości głębokości koleiny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8"/>
        <w:gridCol w:w="3343"/>
        <w:gridCol w:w="3129"/>
      </w:tblGrid>
      <w:tr w:rsidR="007B538E" w:rsidRPr="008367BC" w14:paraId="695234F0" w14:textId="77777777" w:rsidTr="00AA74F6">
        <w:trPr>
          <w:jc w:val="center"/>
        </w:trPr>
        <w:tc>
          <w:tcPr>
            <w:tcW w:w="1288" w:type="dxa"/>
            <w:shd w:val="clear" w:color="auto" w:fill="auto"/>
            <w:vAlign w:val="center"/>
          </w:tcPr>
          <w:p w14:paraId="18354646" w14:textId="77777777" w:rsidR="007B538E" w:rsidRPr="008367BC" w:rsidRDefault="007B538E" w:rsidP="00AA74F6">
            <w:pPr>
              <w:spacing w:after="120"/>
              <w:jc w:val="center"/>
              <w:rPr>
                <w:rFonts w:ascii="Arial" w:hAnsi="Arial" w:cs="Arial"/>
                <w:sz w:val="18"/>
                <w:szCs w:val="18"/>
              </w:rPr>
            </w:pPr>
            <w:r w:rsidRPr="008367BC">
              <w:rPr>
                <w:rFonts w:ascii="Arial" w:hAnsi="Arial" w:cs="Arial"/>
                <w:sz w:val="18"/>
                <w:szCs w:val="18"/>
              </w:rPr>
              <w:t>Klasa drogi</w:t>
            </w:r>
          </w:p>
        </w:tc>
        <w:tc>
          <w:tcPr>
            <w:tcW w:w="3343" w:type="dxa"/>
            <w:shd w:val="clear" w:color="auto" w:fill="auto"/>
            <w:vAlign w:val="center"/>
          </w:tcPr>
          <w:p w14:paraId="4ED5A473" w14:textId="77777777" w:rsidR="007B538E" w:rsidRPr="008367BC" w:rsidRDefault="007B538E" w:rsidP="00AA74F6">
            <w:pPr>
              <w:spacing w:after="120"/>
              <w:jc w:val="center"/>
              <w:rPr>
                <w:rFonts w:ascii="Arial" w:hAnsi="Arial" w:cs="Arial"/>
                <w:sz w:val="18"/>
                <w:szCs w:val="18"/>
              </w:rPr>
            </w:pPr>
            <w:r w:rsidRPr="008367BC">
              <w:rPr>
                <w:rFonts w:ascii="Arial" w:hAnsi="Arial" w:cs="Arial"/>
                <w:sz w:val="18"/>
                <w:szCs w:val="18"/>
              </w:rPr>
              <w:t xml:space="preserve">Miarodajna głębokość koleiny wyznaczona dla 50 m odcinka drogi </w:t>
            </w:r>
            <w:proofErr w:type="spellStart"/>
            <w:r w:rsidRPr="008367BC">
              <w:rPr>
                <w:rFonts w:ascii="Arial" w:hAnsi="Arial" w:cs="Arial"/>
                <w:sz w:val="18"/>
                <w:szCs w:val="18"/>
              </w:rPr>
              <w:t>H</w:t>
            </w:r>
            <w:r w:rsidRPr="008367BC">
              <w:rPr>
                <w:rFonts w:ascii="Arial" w:hAnsi="Arial" w:cs="Arial"/>
                <w:sz w:val="18"/>
                <w:szCs w:val="18"/>
                <w:vertAlign w:val="subscript"/>
              </w:rPr>
              <w:t>m</w:t>
            </w:r>
            <w:proofErr w:type="spellEnd"/>
            <w:r w:rsidRPr="008367BC">
              <w:rPr>
                <w:rFonts w:ascii="Arial" w:hAnsi="Arial" w:cs="Arial"/>
                <w:sz w:val="18"/>
                <w:szCs w:val="18"/>
              </w:rPr>
              <w:t>, [mm]</w:t>
            </w:r>
          </w:p>
        </w:tc>
        <w:tc>
          <w:tcPr>
            <w:tcW w:w="3129" w:type="dxa"/>
            <w:vAlign w:val="center"/>
          </w:tcPr>
          <w:p w14:paraId="7512B261" w14:textId="77777777" w:rsidR="007B538E" w:rsidRPr="008367BC" w:rsidRDefault="007B538E" w:rsidP="00AA74F6">
            <w:pPr>
              <w:spacing w:after="120"/>
              <w:jc w:val="center"/>
              <w:rPr>
                <w:rFonts w:ascii="Arial" w:hAnsi="Arial" w:cs="Arial"/>
                <w:sz w:val="18"/>
                <w:szCs w:val="18"/>
              </w:rPr>
            </w:pPr>
            <w:r w:rsidRPr="008367BC">
              <w:rPr>
                <w:rFonts w:ascii="Arial" w:hAnsi="Arial" w:cs="Arial"/>
                <w:sz w:val="18"/>
                <w:szCs w:val="18"/>
              </w:rPr>
              <w:t>Maksymalna głębokość koleiny [mm]</w:t>
            </w:r>
          </w:p>
        </w:tc>
      </w:tr>
      <w:tr w:rsidR="007B538E" w:rsidRPr="008367BC" w14:paraId="759FE89B" w14:textId="77777777" w:rsidTr="00AA74F6">
        <w:trPr>
          <w:jc w:val="center"/>
        </w:trPr>
        <w:tc>
          <w:tcPr>
            <w:tcW w:w="1288" w:type="dxa"/>
            <w:shd w:val="clear" w:color="auto" w:fill="auto"/>
            <w:vAlign w:val="center"/>
          </w:tcPr>
          <w:p w14:paraId="11C5C537" w14:textId="77777777" w:rsidR="007B538E" w:rsidRPr="008367BC" w:rsidRDefault="007B538E" w:rsidP="00AA74F6">
            <w:pPr>
              <w:spacing w:after="120"/>
              <w:jc w:val="center"/>
              <w:rPr>
                <w:rFonts w:ascii="Arial" w:hAnsi="Arial" w:cs="Arial"/>
                <w:sz w:val="18"/>
                <w:szCs w:val="18"/>
              </w:rPr>
            </w:pPr>
            <w:r w:rsidRPr="008367BC">
              <w:rPr>
                <w:rFonts w:ascii="Arial" w:hAnsi="Arial" w:cs="Arial"/>
                <w:sz w:val="18"/>
                <w:szCs w:val="18"/>
              </w:rPr>
              <w:t>A, S, GP, G</w:t>
            </w:r>
          </w:p>
        </w:tc>
        <w:tc>
          <w:tcPr>
            <w:tcW w:w="3343" w:type="dxa"/>
            <w:shd w:val="clear" w:color="auto" w:fill="auto"/>
            <w:vAlign w:val="center"/>
          </w:tcPr>
          <w:p w14:paraId="6B2B8347" w14:textId="77777777" w:rsidR="007B538E" w:rsidRPr="008367BC" w:rsidRDefault="007B538E" w:rsidP="00AA74F6">
            <w:pPr>
              <w:spacing w:after="120"/>
              <w:jc w:val="center"/>
              <w:rPr>
                <w:rFonts w:ascii="Arial" w:hAnsi="Arial" w:cs="Arial"/>
                <w:sz w:val="18"/>
                <w:szCs w:val="18"/>
              </w:rPr>
            </w:pPr>
            <w:r w:rsidRPr="008367BC">
              <w:rPr>
                <w:rFonts w:ascii="Arial" w:hAnsi="Arial" w:cs="Arial"/>
                <w:sz w:val="18"/>
                <w:szCs w:val="18"/>
              </w:rPr>
              <w:t>≤ 10</w:t>
            </w:r>
          </w:p>
        </w:tc>
        <w:tc>
          <w:tcPr>
            <w:tcW w:w="3129" w:type="dxa"/>
            <w:vAlign w:val="center"/>
          </w:tcPr>
          <w:p w14:paraId="7F5832C0" w14:textId="77777777" w:rsidR="007B538E" w:rsidRPr="008367BC" w:rsidRDefault="007B538E" w:rsidP="00AA74F6">
            <w:pPr>
              <w:spacing w:after="120"/>
              <w:jc w:val="center"/>
              <w:rPr>
                <w:rFonts w:ascii="Arial" w:hAnsi="Arial" w:cs="Arial"/>
                <w:sz w:val="18"/>
                <w:szCs w:val="18"/>
              </w:rPr>
            </w:pPr>
            <w:r w:rsidRPr="008367BC">
              <w:rPr>
                <w:rFonts w:ascii="Arial" w:hAnsi="Arial" w:cs="Arial"/>
                <w:sz w:val="18"/>
                <w:szCs w:val="18"/>
              </w:rPr>
              <w:t>≤ 10</w:t>
            </w:r>
          </w:p>
        </w:tc>
      </w:tr>
    </w:tbl>
    <w:p w14:paraId="12AB8210" w14:textId="77777777" w:rsidR="007B538E" w:rsidRPr="008367BC" w:rsidRDefault="007B538E" w:rsidP="007B538E">
      <w:pPr>
        <w:spacing w:after="120"/>
        <w:jc w:val="both"/>
        <w:rPr>
          <w:rFonts w:ascii="Arial" w:hAnsi="Arial" w:cs="Arial"/>
          <w:sz w:val="18"/>
          <w:szCs w:val="18"/>
        </w:rPr>
      </w:pPr>
    </w:p>
    <w:p w14:paraId="58A96E1D" w14:textId="77777777" w:rsidR="007B538E" w:rsidRPr="008367BC" w:rsidRDefault="007B538E" w:rsidP="007B538E">
      <w:pPr>
        <w:spacing w:after="120"/>
        <w:jc w:val="both"/>
        <w:rPr>
          <w:rFonts w:ascii="Arial" w:hAnsi="Arial" w:cs="Arial"/>
          <w:sz w:val="18"/>
          <w:szCs w:val="18"/>
        </w:rPr>
      </w:pPr>
      <w:r w:rsidRPr="008367BC">
        <w:rPr>
          <w:rFonts w:ascii="Arial" w:hAnsi="Arial" w:cs="Arial"/>
          <w:sz w:val="18"/>
          <w:szCs w:val="18"/>
        </w:rPr>
        <w:t>W tabeli 4 podano maksymalną dopuszczalną głębokość koleiny, powyżej której należy zastosować program naprawczy.</w:t>
      </w:r>
    </w:p>
    <w:p w14:paraId="76F22141" w14:textId="77777777" w:rsidR="007B538E" w:rsidRPr="008367BC" w:rsidRDefault="007B538E" w:rsidP="007B538E">
      <w:pPr>
        <w:numPr>
          <w:ilvl w:val="0"/>
          <w:numId w:val="3"/>
        </w:numPr>
        <w:spacing w:after="120"/>
        <w:ind w:left="284" w:hanging="284"/>
        <w:jc w:val="both"/>
        <w:rPr>
          <w:rFonts w:ascii="Arial" w:hAnsi="Arial" w:cs="Arial"/>
          <w:sz w:val="18"/>
          <w:szCs w:val="18"/>
        </w:rPr>
      </w:pPr>
      <w:r w:rsidRPr="008367BC">
        <w:rPr>
          <w:rFonts w:ascii="Arial" w:hAnsi="Arial" w:cs="Arial"/>
          <w:sz w:val="18"/>
          <w:szCs w:val="18"/>
          <w:u w:val="single"/>
        </w:rPr>
        <w:t>Miarodajna głębokość koleiny</w:t>
      </w:r>
      <w:r w:rsidRPr="008367BC">
        <w:rPr>
          <w:rFonts w:ascii="Arial" w:hAnsi="Arial" w:cs="Arial"/>
          <w:sz w:val="18"/>
          <w:szCs w:val="18"/>
        </w:rPr>
        <w:t xml:space="preserve"> wyznaczona dla 50 m odcinka drogi – jest równa sumie wartości średniej E[h] i dwóch odchyleń standardowych </w:t>
      </w:r>
      <w:proofErr w:type="spellStart"/>
      <w:r w:rsidRPr="008367BC">
        <w:rPr>
          <w:rFonts w:ascii="Arial" w:hAnsi="Arial" w:cs="Arial"/>
          <w:sz w:val="18"/>
          <w:szCs w:val="18"/>
        </w:rPr>
        <w:t>D</w:t>
      </w:r>
      <w:r w:rsidRPr="008367BC">
        <w:rPr>
          <w:rFonts w:ascii="Arial" w:hAnsi="Arial" w:cs="Arial"/>
          <w:sz w:val="18"/>
          <w:szCs w:val="18"/>
          <w:vertAlign w:val="subscript"/>
        </w:rPr>
        <w:t>h</w:t>
      </w:r>
      <w:proofErr w:type="spellEnd"/>
      <w:r w:rsidRPr="008367BC">
        <w:rPr>
          <w:rFonts w:ascii="Arial" w:hAnsi="Arial" w:cs="Arial"/>
          <w:sz w:val="18"/>
          <w:szCs w:val="18"/>
        </w:rPr>
        <w:t xml:space="preserve">, które oblicza się dla zbioru 50 wyników z automatycznego pomiaru głębokości koleiny z ustalonym krokiem pomiarowym (h) równym 1 m i oblicza się wg poniższego wzoru: </w:t>
      </w:r>
    </w:p>
    <w:p w14:paraId="41F2A8D5" w14:textId="77777777" w:rsidR="007B538E" w:rsidRPr="008367BC" w:rsidRDefault="007B538E" w:rsidP="007B538E">
      <w:pPr>
        <w:spacing w:after="120"/>
        <w:jc w:val="center"/>
        <w:rPr>
          <w:rFonts w:ascii="Arial" w:hAnsi="Arial" w:cs="Arial"/>
          <w:sz w:val="18"/>
          <w:szCs w:val="18"/>
        </w:rPr>
      </w:pPr>
      <w:proofErr w:type="spellStart"/>
      <w:r w:rsidRPr="008367BC">
        <w:rPr>
          <w:rFonts w:ascii="Arial" w:hAnsi="Arial" w:cs="Arial"/>
          <w:sz w:val="18"/>
          <w:szCs w:val="18"/>
        </w:rPr>
        <w:t>H</w:t>
      </w:r>
      <w:r w:rsidRPr="008367BC">
        <w:rPr>
          <w:rFonts w:ascii="Arial" w:hAnsi="Arial" w:cs="Arial"/>
          <w:sz w:val="18"/>
          <w:szCs w:val="18"/>
          <w:vertAlign w:val="subscript"/>
        </w:rPr>
        <w:t>m</w:t>
      </w:r>
      <w:proofErr w:type="spellEnd"/>
      <w:r w:rsidRPr="008367BC">
        <w:rPr>
          <w:rFonts w:ascii="Arial" w:hAnsi="Arial" w:cs="Arial"/>
          <w:sz w:val="18"/>
          <w:szCs w:val="18"/>
        </w:rPr>
        <w:t xml:space="preserve"> = E[h] + 2D</w:t>
      </w:r>
      <w:r w:rsidRPr="008367BC">
        <w:rPr>
          <w:rFonts w:ascii="Arial" w:hAnsi="Arial" w:cs="Arial"/>
          <w:sz w:val="18"/>
          <w:szCs w:val="18"/>
          <w:vertAlign w:val="subscript"/>
        </w:rPr>
        <w:t>h</w:t>
      </w:r>
    </w:p>
    <w:p w14:paraId="1543D4B7" w14:textId="77777777" w:rsidR="007B538E" w:rsidRPr="008367BC" w:rsidRDefault="007B538E" w:rsidP="007B538E">
      <w:pPr>
        <w:spacing w:after="120"/>
        <w:ind w:left="284"/>
        <w:jc w:val="both"/>
        <w:rPr>
          <w:rFonts w:ascii="Arial" w:hAnsi="Arial" w:cs="Arial"/>
          <w:sz w:val="18"/>
          <w:szCs w:val="18"/>
        </w:rPr>
      </w:pPr>
      <w:r w:rsidRPr="008367BC">
        <w:rPr>
          <w:rFonts w:ascii="Arial" w:hAnsi="Arial" w:cs="Arial"/>
          <w:sz w:val="18"/>
          <w:szCs w:val="18"/>
        </w:rPr>
        <w:t>gdzie:</w:t>
      </w:r>
    </w:p>
    <w:p w14:paraId="66442215" w14:textId="77777777" w:rsidR="007B538E" w:rsidRPr="008367BC" w:rsidRDefault="007B538E" w:rsidP="007B538E">
      <w:pPr>
        <w:tabs>
          <w:tab w:val="left" w:pos="993"/>
        </w:tabs>
        <w:spacing w:after="120"/>
        <w:ind w:left="284"/>
        <w:rPr>
          <w:rFonts w:ascii="Arial" w:hAnsi="Arial" w:cs="Arial"/>
          <w:sz w:val="18"/>
          <w:szCs w:val="18"/>
        </w:rPr>
      </w:pPr>
      <w:proofErr w:type="spellStart"/>
      <w:r w:rsidRPr="008367BC">
        <w:rPr>
          <w:rFonts w:ascii="Arial" w:hAnsi="Arial" w:cs="Arial"/>
          <w:sz w:val="18"/>
          <w:szCs w:val="18"/>
        </w:rPr>
        <w:t>H</w:t>
      </w:r>
      <w:r w:rsidRPr="008367BC">
        <w:rPr>
          <w:rFonts w:ascii="Arial" w:hAnsi="Arial" w:cs="Arial"/>
          <w:sz w:val="18"/>
          <w:szCs w:val="18"/>
          <w:vertAlign w:val="subscript"/>
        </w:rPr>
        <w:t>m</w:t>
      </w:r>
      <w:proofErr w:type="spellEnd"/>
      <w:r w:rsidRPr="008367BC">
        <w:rPr>
          <w:rFonts w:ascii="Arial" w:hAnsi="Arial" w:cs="Arial"/>
          <w:sz w:val="18"/>
          <w:szCs w:val="18"/>
        </w:rPr>
        <w:tab/>
        <w:t>miarodajna głębokość koleiny dla odcinka 50 metrowego</w:t>
      </w:r>
    </w:p>
    <w:p w14:paraId="5EDC62E8" w14:textId="77777777" w:rsidR="007B538E" w:rsidRPr="008367BC" w:rsidRDefault="007B538E" w:rsidP="007B538E">
      <w:pPr>
        <w:tabs>
          <w:tab w:val="left" w:pos="993"/>
        </w:tabs>
        <w:spacing w:after="120"/>
        <w:ind w:left="993" w:hanging="709"/>
        <w:rPr>
          <w:rFonts w:ascii="Arial" w:hAnsi="Arial" w:cs="Arial"/>
          <w:sz w:val="18"/>
          <w:szCs w:val="18"/>
        </w:rPr>
      </w:pPr>
      <w:r w:rsidRPr="008367BC">
        <w:rPr>
          <w:rFonts w:ascii="Arial" w:hAnsi="Arial" w:cs="Arial"/>
          <w:sz w:val="18"/>
          <w:szCs w:val="18"/>
        </w:rPr>
        <w:t>E[h]</w:t>
      </w:r>
      <w:r w:rsidRPr="008367BC">
        <w:rPr>
          <w:rFonts w:ascii="Arial" w:hAnsi="Arial" w:cs="Arial"/>
          <w:sz w:val="18"/>
          <w:szCs w:val="18"/>
        </w:rPr>
        <w:tab/>
        <w:t>wartość średnia z n pojedynczych pomiarów dla ustalonego kroku pomiarowego h</w:t>
      </w:r>
    </w:p>
    <w:p w14:paraId="47CB51F8" w14:textId="77777777" w:rsidR="007B538E" w:rsidRPr="008367BC" w:rsidRDefault="007B538E" w:rsidP="007B538E">
      <w:pPr>
        <w:tabs>
          <w:tab w:val="left" w:pos="993"/>
        </w:tabs>
        <w:spacing w:after="120"/>
        <w:ind w:left="284"/>
        <w:rPr>
          <w:rFonts w:ascii="Arial" w:hAnsi="Arial" w:cs="Arial"/>
          <w:sz w:val="18"/>
          <w:szCs w:val="18"/>
        </w:rPr>
      </w:pPr>
      <w:proofErr w:type="spellStart"/>
      <w:r w:rsidRPr="008367BC">
        <w:rPr>
          <w:rFonts w:ascii="Arial" w:hAnsi="Arial" w:cs="Arial"/>
          <w:sz w:val="18"/>
          <w:szCs w:val="18"/>
        </w:rPr>
        <w:t>D</w:t>
      </w:r>
      <w:r w:rsidRPr="008367BC">
        <w:rPr>
          <w:rFonts w:ascii="Arial" w:hAnsi="Arial" w:cs="Arial"/>
          <w:sz w:val="18"/>
          <w:szCs w:val="18"/>
          <w:vertAlign w:val="subscript"/>
        </w:rPr>
        <w:t>h</w:t>
      </w:r>
      <w:proofErr w:type="spellEnd"/>
      <w:r w:rsidRPr="008367BC">
        <w:rPr>
          <w:rFonts w:ascii="Arial" w:hAnsi="Arial" w:cs="Arial"/>
          <w:sz w:val="18"/>
          <w:szCs w:val="18"/>
        </w:rPr>
        <w:tab/>
        <w:t>odchylenie standardowe dla odcinka 50 metrowego</w:t>
      </w:r>
    </w:p>
    <w:p w14:paraId="5E148251" w14:textId="77777777" w:rsidR="007B538E" w:rsidRPr="008367BC" w:rsidRDefault="007B538E" w:rsidP="007B538E">
      <w:pPr>
        <w:spacing w:after="120"/>
        <w:jc w:val="both"/>
        <w:rPr>
          <w:rFonts w:ascii="Arial" w:hAnsi="Arial" w:cs="Arial"/>
          <w:sz w:val="18"/>
          <w:szCs w:val="18"/>
        </w:rPr>
      </w:pPr>
    </w:p>
    <w:p w14:paraId="53D8347E" w14:textId="77777777" w:rsidR="007B538E" w:rsidRPr="008367BC" w:rsidRDefault="007B538E" w:rsidP="007B538E">
      <w:pPr>
        <w:numPr>
          <w:ilvl w:val="3"/>
          <w:numId w:val="4"/>
        </w:numPr>
        <w:spacing w:after="120"/>
        <w:ind w:left="851" w:hanging="851"/>
        <w:jc w:val="both"/>
        <w:rPr>
          <w:rFonts w:ascii="Arial" w:hAnsi="Arial" w:cs="Arial"/>
          <w:sz w:val="18"/>
          <w:szCs w:val="18"/>
        </w:rPr>
      </w:pPr>
      <w:r w:rsidRPr="008367BC">
        <w:rPr>
          <w:rFonts w:ascii="Arial" w:hAnsi="Arial" w:cs="Arial"/>
          <w:sz w:val="18"/>
          <w:szCs w:val="18"/>
        </w:rPr>
        <w:t xml:space="preserve">Równość podłużna </w:t>
      </w:r>
    </w:p>
    <w:p w14:paraId="2862A229" w14:textId="77777777" w:rsidR="007B538E" w:rsidRPr="008367BC" w:rsidRDefault="007B538E" w:rsidP="007B538E">
      <w:pPr>
        <w:spacing w:after="120"/>
        <w:jc w:val="both"/>
        <w:rPr>
          <w:rFonts w:ascii="Arial" w:hAnsi="Arial" w:cs="Arial"/>
          <w:sz w:val="18"/>
          <w:szCs w:val="18"/>
        </w:rPr>
      </w:pPr>
      <w:r w:rsidRPr="008367BC">
        <w:rPr>
          <w:rFonts w:ascii="Arial" w:hAnsi="Arial" w:cs="Arial"/>
          <w:sz w:val="18"/>
          <w:szCs w:val="18"/>
        </w:rPr>
        <w:t>Do oceny równości podłużnej warstwy ścieralnej nawierzchni dróg klasy A, S, GP oraz G należy stosować metodę profilometryczną bazującą na wskaźnikach równości IRI [mm/m]. Profil nierówności warstwy nawierzchni należy rejestrować z krokiem co 10 cm. Wartość IRI standardowo należy wyznaczać z krokiem co 50 m. Pomiary należy wykonywać w śladzie prawego koła.</w:t>
      </w:r>
    </w:p>
    <w:p w14:paraId="6AF3D74F" w14:textId="77777777" w:rsidR="007B538E" w:rsidRPr="008367BC" w:rsidRDefault="007B538E" w:rsidP="007B538E">
      <w:pPr>
        <w:spacing w:after="120"/>
        <w:jc w:val="both"/>
        <w:rPr>
          <w:rFonts w:ascii="Arial" w:hAnsi="Arial" w:cs="Arial"/>
          <w:sz w:val="18"/>
          <w:szCs w:val="18"/>
        </w:rPr>
      </w:pPr>
      <w:r w:rsidRPr="008367BC">
        <w:rPr>
          <w:rFonts w:ascii="Arial" w:hAnsi="Arial" w:cs="Arial"/>
          <w:sz w:val="18"/>
          <w:szCs w:val="18"/>
        </w:rPr>
        <w:t xml:space="preserve">Wymagana równość podłużna jest określona przez wartość średnią wyników pomiaru </w:t>
      </w:r>
      <w:proofErr w:type="spellStart"/>
      <w:r w:rsidRPr="008367BC">
        <w:rPr>
          <w:rFonts w:ascii="Arial" w:hAnsi="Arial" w:cs="Arial"/>
          <w:sz w:val="18"/>
          <w:szCs w:val="18"/>
        </w:rPr>
        <w:t>IRI</w:t>
      </w:r>
      <w:r w:rsidRPr="008367BC">
        <w:rPr>
          <w:rFonts w:ascii="Arial" w:hAnsi="Arial" w:cs="Arial"/>
          <w:sz w:val="18"/>
          <w:szCs w:val="18"/>
          <w:vertAlign w:val="subscript"/>
        </w:rPr>
        <w:t>śr</w:t>
      </w:r>
      <w:proofErr w:type="spellEnd"/>
      <w:r w:rsidRPr="008367BC">
        <w:rPr>
          <w:rFonts w:ascii="Arial" w:hAnsi="Arial" w:cs="Arial"/>
          <w:sz w:val="18"/>
          <w:szCs w:val="18"/>
        </w:rPr>
        <w:t xml:space="preserve"> oraz wartość maksymalną pojedynczego pomiaru </w:t>
      </w:r>
      <w:proofErr w:type="spellStart"/>
      <w:r w:rsidRPr="008367BC">
        <w:rPr>
          <w:rFonts w:ascii="Arial" w:hAnsi="Arial" w:cs="Arial"/>
          <w:sz w:val="18"/>
          <w:szCs w:val="18"/>
        </w:rPr>
        <w:t>IRI</w:t>
      </w:r>
      <w:r w:rsidRPr="008367BC">
        <w:rPr>
          <w:rFonts w:ascii="Arial" w:hAnsi="Arial" w:cs="Arial"/>
          <w:sz w:val="18"/>
          <w:szCs w:val="18"/>
          <w:vertAlign w:val="subscript"/>
        </w:rPr>
        <w:t>max</w:t>
      </w:r>
      <w:proofErr w:type="spellEnd"/>
      <w:r w:rsidRPr="008367BC">
        <w:rPr>
          <w:rFonts w:ascii="Arial" w:hAnsi="Arial" w:cs="Arial"/>
          <w:sz w:val="18"/>
          <w:szCs w:val="18"/>
        </w:rPr>
        <w:t xml:space="preserve">, których nie można przekroczyć na długości ocenianego odcinka nawierzchni nie dłuższego niż 1000 m. W przypadku odcinka nawierzchni o całkowitej długości mniejszej niż 500 m, dopuszczalną wartość </w:t>
      </w:r>
      <w:proofErr w:type="spellStart"/>
      <w:r w:rsidRPr="008367BC">
        <w:rPr>
          <w:rFonts w:ascii="Arial" w:hAnsi="Arial" w:cs="Arial"/>
          <w:sz w:val="18"/>
          <w:szCs w:val="18"/>
        </w:rPr>
        <w:t>IRI</w:t>
      </w:r>
      <w:r w:rsidRPr="008367BC">
        <w:rPr>
          <w:rFonts w:ascii="Arial" w:hAnsi="Arial" w:cs="Arial"/>
          <w:sz w:val="18"/>
          <w:szCs w:val="18"/>
          <w:vertAlign w:val="subscript"/>
        </w:rPr>
        <w:t>śr</w:t>
      </w:r>
      <w:proofErr w:type="spellEnd"/>
      <w:r w:rsidRPr="008367BC">
        <w:rPr>
          <w:rFonts w:ascii="Arial" w:hAnsi="Arial" w:cs="Arial"/>
          <w:sz w:val="18"/>
          <w:szCs w:val="18"/>
        </w:rPr>
        <w:t xml:space="preserve"> wg tabeli 5 należy zwiększyć o 0,2 mm/m. </w:t>
      </w:r>
    </w:p>
    <w:p w14:paraId="2797D86D" w14:textId="77777777" w:rsidR="007B538E" w:rsidRPr="008367BC" w:rsidRDefault="007B538E" w:rsidP="007B538E">
      <w:pPr>
        <w:spacing w:after="120"/>
        <w:jc w:val="both"/>
        <w:rPr>
          <w:rFonts w:ascii="Arial" w:hAnsi="Arial" w:cs="Arial"/>
          <w:sz w:val="18"/>
          <w:szCs w:val="18"/>
        </w:rPr>
      </w:pPr>
      <w:r w:rsidRPr="008367BC">
        <w:rPr>
          <w:rFonts w:ascii="Arial" w:hAnsi="Arial" w:cs="Arial"/>
          <w:sz w:val="18"/>
          <w:szCs w:val="18"/>
        </w:rPr>
        <w:t>Dopuszcza się stosowanie równoważnej, wiarygodnej aparatury pomiarowej, jeśli dysponuje się sprawdzoną zależnością korelacyjną umożliwiającą przeliczenie wyników pomiarów na wartości uzyskiwane profilografem laserowym.</w:t>
      </w:r>
    </w:p>
    <w:p w14:paraId="0756A8A4" w14:textId="77777777" w:rsidR="007B538E" w:rsidRPr="008367BC" w:rsidRDefault="007B538E" w:rsidP="007B538E">
      <w:pPr>
        <w:spacing w:after="120"/>
        <w:jc w:val="both"/>
        <w:rPr>
          <w:rFonts w:ascii="Arial" w:hAnsi="Arial" w:cs="Arial"/>
          <w:sz w:val="18"/>
          <w:szCs w:val="18"/>
        </w:rPr>
      </w:pPr>
    </w:p>
    <w:p w14:paraId="2290434B" w14:textId="77777777" w:rsidR="007B538E" w:rsidRPr="008367BC" w:rsidRDefault="007B538E" w:rsidP="007B538E">
      <w:pPr>
        <w:tabs>
          <w:tab w:val="left" w:pos="1134"/>
        </w:tabs>
        <w:spacing w:after="120"/>
        <w:jc w:val="both"/>
        <w:rPr>
          <w:rFonts w:ascii="Arial" w:hAnsi="Arial" w:cs="Arial"/>
          <w:sz w:val="18"/>
          <w:szCs w:val="18"/>
        </w:rPr>
      </w:pPr>
      <w:r w:rsidRPr="008367BC">
        <w:rPr>
          <w:rFonts w:ascii="Arial" w:hAnsi="Arial" w:cs="Arial"/>
          <w:sz w:val="18"/>
          <w:szCs w:val="18"/>
        </w:rPr>
        <w:t>Tabela 5.</w:t>
      </w:r>
      <w:r w:rsidRPr="008367BC">
        <w:rPr>
          <w:rFonts w:ascii="Arial" w:hAnsi="Arial" w:cs="Arial"/>
          <w:sz w:val="18"/>
          <w:szCs w:val="18"/>
        </w:rPr>
        <w:tab/>
        <w:t>Wymagane parametry równości podłużnej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686"/>
        <w:gridCol w:w="1984"/>
        <w:gridCol w:w="1731"/>
      </w:tblGrid>
      <w:tr w:rsidR="007B538E" w:rsidRPr="008367BC" w14:paraId="100F6633" w14:textId="77777777" w:rsidTr="00AA74F6">
        <w:tc>
          <w:tcPr>
            <w:tcW w:w="1134" w:type="dxa"/>
            <w:vMerge w:val="restart"/>
            <w:shd w:val="clear" w:color="auto" w:fill="auto"/>
            <w:vAlign w:val="center"/>
          </w:tcPr>
          <w:p w14:paraId="13725211" w14:textId="77777777" w:rsidR="007B538E" w:rsidRPr="008367BC" w:rsidRDefault="007B538E" w:rsidP="00AA74F6">
            <w:pPr>
              <w:spacing w:after="120"/>
              <w:jc w:val="center"/>
              <w:rPr>
                <w:rFonts w:ascii="Arial" w:hAnsi="Arial" w:cs="Arial"/>
                <w:sz w:val="18"/>
                <w:szCs w:val="18"/>
              </w:rPr>
            </w:pPr>
            <w:r w:rsidRPr="008367BC">
              <w:rPr>
                <w:rFonts w:ascii="Arial" w:hAnsi="Arial" w:cs="Arial"/>
                <w:sz w:val="18"/>
                <w:szCs w:val="18"/>
              </w:rPr>
              <w:t>Klasa drogi</w:t>
            </w:r>
          </w:p>
        </w:tc>
        <w:tc>
          <w:tcPr>
            <w:tcW w:w="3686" w:type="dxa"/>
            <w:vMerge w:val="restart"/>
            <w:shd w:val="clear" w:color="auto" w:fill="auto"/>
            <w:vAlign w:val="center"/>
          </w:tcPr>
          <w:p w14:paraId="23C30409" w14:textId="77777777" w:rsidR="007B538E" w:rsidRPr="008367BC" w:rsidRDefault="007B538E" w:rsidP="00AA74F6">
            <w:pPr>
              <w:spacing w:after="120"/>
              <w:jc w:val="center"/>
              <w:rPr>
                <w:rFonts w:ascii="Arial" w:hAnsi="Arial" w:cs="Arial"/>
                <w:sz w:val="18"/>
                <w:szCs w:val="18"/>
              </w:rPr>
            </w:pPr>
            <w:r w:rsidRPr="008367BC">
              <w:rPr>
                <w:rFonts w:ascii="Arial" w:hAnsi="Arial" w:cs="Arial"/>
                <w:sz w:val="18"/>
                <w:szCs w:val="18"/>
              </w:rPr>
              <w:t>Element nawierzchni</w:t>
            </w:r>
          </w:p>
        </w:tc>
        <w:tc>
          <w:tcPr>
            <w:tcW w:w="3715" w:type="dxa"/>
            <w:gridSpan w:val="2"/>
            <w:shd w:val="clear" w:color="auto" w:fill="auto"/>
            <w:vAlign w:val="center"/>
          </w:tcPr>
          <w:p w14:paraId="0B7E870B" w14:textId="77777777" w:rsidR="007B538E" w:rsidRPr="008367BC" w:rsidRDefault="007B538E" w:rsidP="00AA74F6">
            <w:pPr>
              <w:spacing w:after="120"/>
              <w:jc w:val="center"/>
              <w:rPr>
                <w:rFonts w:ascii="Arial" w:hAnsi="Arial" w:cs="Arial"/>
                <w:sz w:val="18"/>
                <w:szCs w:val="18"/>
              </w:rPr>
            </w:pPr>
            <w:r w:rsidRPr="008367BC">
              <w:rPr>
                <w:rFonts w:ascii="Arial" w:hAnsi="Arial" w:cs="Arial"/>
                <w:sz w:val="18"/>
                <w:szCs w:val="18"/>
              </w:rPr>
              <w:t>Wskaźniki dla zadanego zakresu długości odcinka drogi [mm/m]</w:t>
            </w:r>
          </w:p>
        </w:tc>
      </w:tr>
      <w:tr w:rsidR="007B538E" w:rsidRPr="008367BC" w14:paraId="0DD2D807" w14:textId="77777777" w:rsidTr="00AA74F6">
        <w:tc>
          <w:tcPr>
            <w:tcW w:w="1134" w:type="dxa"/>
            <w:vMerge/>
            <w:shd w:val="clear" w:color="auto" w:fill="auto"/>
            <w:vAlign w:val="center"/>
          </w:tcPr>
          <w:p w14:paraId="39D064A8" w14:textId="77777777" w:rsidR="007B538E" w:rsidRPr="008367BC" w:rsidRDefault="007B538E" w:rsidP="00AA74F6">
            <w:pPr>
              <w:spacing w:after="120"/>
              <w:jc w:val="center"/>
              <w:rPr>
                <w:rFonts w:ascii="Arial" w:hAnsi="Arial" w:cs="Arial"/>
                <w:sz w:val="18"/>
                <w:szCs w:val="18"/>
              </w:rPr>
            </w:pPr>
          </w:p>
        </w:tc>
        <w:tc>
          <w:tcPr>
            <w:tcW w:w="3686" w:type="dxa"/>
            <w:vMerge/>
            <w:shd w:val="clear" w:color="auto" w:fill="auto"/>
            <w:vAlign w:val="center"/>
          </w:tcPr>
          <w:p w14:paraId="0AB2485E" w14:textId="77777777" w:rsidR="007B538E" w:rsidRPr="008367BC" w:rsidRDefault="007B538E" w:rsidP="00AA74F6">
            <w:pPr>
              <w:spacing w:after="120"/>
              <w:jc w:val="center"/>
              <w:rPr>
                <w:rFonts w:ascii="Arial" w:hAnsi="Arial" w:cs="Arial"/>
                <w:sz w:val="18"/>
                <w:szCs w:val="18"/>
              </w:rPr>
            </w:pPr>
          </w:p>
        </w:tc>
        <w:tc>
          <w:tcPr>
            <w:tcW w:w="1984" w:type="dxa"/>
            <w:shd w:val="clear" w:color="auto" w:fill="auto"/>
            <w:vAlign w:val="center"/>
          </w:tcPr>
          <w:p w14:paraId="748EEEA0" w14:textId="77777777" w:rsidR="007B538E" w:rsidRPr="008367BC" w:rsidRDefault="007B538E" w:rsidP="00AA74F6">
            <w:pPr>
              <w:spacing w:after="120"/>
              <w:jc w:val="center"/>
              <w:rPr>
                <w:rFonts w:ascii="Arial" w:hAnsi="Arial" w:cs="Arial"/>
                <w:sz w:val="18"/>
                <w:szCs w:val="18"/>
              </w:rPr>
            </w:pPr>
            <w:proofErr w:type="spellStart"/>
            <w:r w:rsidRPr="008367BC">
              <w:rPr>
                <w:rFonts w:ascii="Arial" w:hAnsi="Arial" w:cs="Arial"/>
                <w:sz w:val="18"/>
                <w:szCs w:val="18"/>
              </w:rPr>
              <w:t>IRI</w:t>
            </w:r>
            <w:r w:rsidRPr="008367BC">
              <w:rPr>
                <w:rFonts w:ascii="Arial" w:hAnsi="Arial" w:cs="Arial"/>
                <w:sz w:val="18"/>
                <w:szCs w:val="18"/>
                <w:vertAlign w:val="subscript"/>
              </w:rPr>
              <w:t>śr</w:t>
            </w:r>
            <w:proofErr w:type="spellEnd"/>
          </w:p>
        </w:tc>
        <w:tc>
          <w:tcPr>
            <w:tcW w:w="1731" w:type="dxa"/>
            <w:shd w:val="clear" w:color="auto" w:fill="auto"/>
            <w:vAlign w:val="center"/>
          </w:tcPr>
          <w:p w14:paraId="2A655DF9" w14:textId="77777777" w:rsidR="007B538E" w:rsidRPr="008367BC" w:rsidRDefault="007B538E" w:rsidP="00AA74F6">
            <w:pPr>
              <w:spacing w:after="120"/>
              <w:jc w:val="center"/>
              <w:rPr>
                <w:rFonts w:ascii="Arial" w:hAnsi="Arial" w:cs="Arial"/>
                <w:sz w:val="18"/>
                <w:szCs w:val="18"/>
              </w:rPr>
            </w:pPr>
            <w:proofErr w:type="spellStart"/>
            <w:r w:rsidRPr="008367BC">
              <w:rPr>
                <w:rFonts w:ascii="Arial" w:hAnsi="Arial" w:cs="Arial"/>
                <w:sz w:val="18"/>
                <w:szCs w:val="18"/>
              </w:rPr>
              <w:t>IRI</w:t>
            </w:r>
            <w:r w:rsidRPr="008367BC">
              <w:rPr>
                <w:rFonts w:ascii="Arial" w:hAnsi="Arial" w:cs="Arial"/>
                <w:sz w:val="18"/>
                <w:szCs w:val="18"/>
                <w:vertAlign w:val="subscript"/>
              </w:rPr>
              <w:t>max</w:t>
            </w:r>
            <w:proofErr w:type="spellEnd"/>
          </w:p>
        </w:tc>
      </w:tr>
      <w:tr w:rsidR="007B538E" w:rsidRPr="008367BC" w14:paraId="3ADA4A50" w14:textId="77777777" w:rsidTr="00AA74F6">
        <w:tc>
          <w:tcPr>
            <w:tcW w:w="1134" w:type="dxa"/>
            <w:shd w:val="clear" w:color="auto" w:fill="auto"/>
            <w:vAlign w:val="center"/>
          </w:tcPr>
          <w:p w14:paraId="6CB62B5A" w14:textId="77777777" w:rsidR="007B538E" w:rsidRPr="008367BC" w:rsidRDefault="007B538E" w:rsidP="00AA74F6">
            <w:pPr>
              <w:spacing w:after="120"/>
              <w:jc w:val="center"/>
              <w:rPr>
                <w:rFonts w:ascii="Arial" w:hAnsi="Arial" w:cs="Arial"/>
                <w:sz w:val="18"/>
                <w:szCs w:val="18"/>
              </w:rPr>
            </w:pPr>
            <w:r w:rsidRPr="008367BC">
              <w:rPr>
                <w:rFonts w:ascii="Arial" w:hAnsi="Arial" w:cs="Arial"/>
                <w:sz w:val="18"/>
                <w:szCs w:val="18"/>
              </w:rPr>
              <w:t>A, S, GP</w:t>
            </w:r>
          </w:p>
        </w:tc>
        <w:tc>
          <w:tcPr>
            <w:tcW w:w="3686" w:type="dxa"/>
            <w:shd w:val="clear" w:color="auto" w:fill="auto"/>
            <w:vAlign w:val="center"/>
          </w:tcPr>
          <w:p w14:paraId="23AA1F59" w14:textId="77777777" w:rsidR="007B538E" w:rsidRPr="008367BC" w:rsidRDefault="007B538E" w:rsidP="00AA74F6">
            <w:pPr>
              <w:spacing w:after="120"/>
              <w:rPr>
                <w:rFonts w:ascii="Arial" w:hAnsi="Arial" w:cs="Arial"/>
                <w:sz w:val="18"/>
                <w:szCs w:val="18"/>
              </w:rPr>
            </w:pPr>
            <w:r w:rsidRPr="008367BC">
              <w:rPr>
                <w:rFonts w:ascii="Arial" w:hAnsi="Arial" w:cs="Arial"/>
                <w:sz w:val="18"/>
                <w:szCs w:val="18"/>
              </w:rPr>
              <w:t>Pasy ruchu zasadnicze, awaryjne, dodatkowe, włączenia i wyłączenia, jezdnie łącznic</w:t>
            </w:r>
          </w:p>
        </w:tc>
        <w:tc>
          <w:tcPr>
            <w:tcW w:w="1984" w:type="dxa"/>
            <w:shd w:val="clear" w:color="auto" w:fill="auto"/>
            <w:vAlign w:val="center"/>
          </w:tcPr>
          <w:p w14:paraId="5081525A" w14:textId="77777777" w:rsidR="007B538E" w:rsidRPr="008367BC" w:rsidRDefault="007B538E" w:rsidP="00AA74F6">
            <w:pPr>
              <w:spacing w:after="120"/>
              <w:jc w:val="center"/>
              <w:rPr>
                <w:rFonts w:ascii="Arial" w:hAnsi="Arial" w:cs="Arial"/>
                <w:sz w:val="18"/>
                <w:szCs w:val="18"/>
              </w:rPr>
            </w:pPr>
            <w:r w:rsidRPr="008367BC">
              <w:rPr>
                <w:rFonts w:ascii="Arial" w:hAnsi="Arial" w:cs="Arial"/>
                <w:sz w:val="18"/>
                <w:szCs w:val="18"/>
              </w:rPr>
              <w:t>≤ 2,0</w:t>
            </w:r>
          </w:p>
        </w:tc>
        <w:tc>
          <w:tcPr>
            <w:tcW w:w="1731" w:type="dxa"/>
            <w:shd w:val="clear" w:color="auto" w:fill="auto"/>
            <w:vAlign w:val="center"/>
          </w:tcPr>
          <w:p w14:paraId="0C41294E" w14:textId="77777777" w:rsidR="007B538E" w:rsidRPr="008367BC" w:rsidRDefault="007B538E" w:rsidP="00AA74F6">
            <w:pPr>
              <w:spacing w:after="120"/>
              <w:jc w:val="center"/>
              <w:rPr>
                <w:rFonts w:ascii="Arial" w:hAnsi="Arial" w:cs="Arial"/>
                <w:sz w:val="18"/>
                <w:szCs w:val="18"/>
              </w:rPr>
            </w:pPr>
            <w:r w:rsidRPr="008367BC">
              <w:rPr>
                <w:rFonts w:ascii="Arial" w:hAnsi="Arial" w:cs="Arial"/>
                <w:sz w:val="18"/>
                <w:szCs w:val="18"/>
              </w:rPr>
              <w:t>≤ 2,6</w:t>
            </w:r>
          </w:p>
        </w:tc>
      </w:tr>
      <w:tr w:rsidR="007B538E" w:rsidRPr="008367BC" w14:paraId="1C4757B3" w14:textId="77777777" w:rsidTr="00AA74F6">
        <w:tc>
          <w:tcPr>
            <w:tcW w:w="1134" w:type="dxa"/>
            <w:shd w:val="clear" w:color="auto" w:fill="auto"/>
            <w:vAlign w:val="center"/>
          </w:tcPr>
          <w:p w14:paraId="6361A2A5" w14:textId="77777777" w:rsidR="007B538E" w:rsidRPr="008367BC" w:rsidRDefault="007B538E" w:rsidP="00AA74F6">
            <w:pPr>
              <w:spacing w:after="120"/>
              <w:jc w:val="center"/>
              <w:rPr>
                <w:rFonts w:ascii="Arial" w:hAnsi="Arial" w:cs="Arial"/>
                <w:sz w:val="18"/>
                <w:szCs w:val="18"/>
              </w:rPr>
            </w:pPr>
            <w:r w:rsidRPr="008367BC">
              <w:rPr>
                <w:rFonts w:ascii="Arial" w:hAnsi="Arial" w:cs="Arial"/>
                <w:sz w:val="18"/>
                <w:szCs w:val="18"/>
              </w:rPr>
              <w:t>G</w:t>
            </w:r>
          </w:p>
        </w:tc>
        <w:tc>
          <w:tcPr>
            <w:tcW w:w="3686" w:type="dxa"/>
            <w:shd w:val="clear" w:color="auto" w:fill="auto"/>
            <w:vAlign w:val="center"/>
          </w:tcPr>
          <w:p w14:paraId="33A98E00" w14:textId="77777777" w:rsidR="007B538E" w:rsidRPr="008367BC" w:rsidRDefault="007B538E" w:rsidP="00AA74F6">
            <w:pPr>
              <w:spacing w:after="120"/>
              <w:rPr>
                <w:rFonts w:ascii="Arial" w:hAnsi="Arial" w:cs="Arial"/>
                <w:sz w:val="18"/>
                <w:szCs w:val="18"/>
              </w:rPr>
            </w:pPr>
            <w:r w:rsidRPr="008367BC">
              <w:rPr>
                <w:rFonts w:ascii="Arial" w:hAnsi="Arial" w:cs="Arial"/>
                <w:sz w:val="18"/>
                <w:szCs w:val="18"/>
              </w:rPr>
              <w:t>Pasy ruchu zasadnicze, dodatkowe, włączenia i wyłączenia, postojowe</w:t>
            </w:r>
          </w:p>
        </w:tc>
        <w:tc>
          <w:tcPr>
            <w:tcW w:w="1984" w:type="dxa"/>
            <w:shd w:val="clear" w:color="auto" w:fill="auto"/>
            <w:vAlign w:val="center"/>
          </w:tcPr>
          <w:p w14:paraId="0AB96BB9" w14:textId="77777777" w:rsidR="007B538E" w:rsidRPr="008367BC" w:rsidRDefault="007B538E" w:rsidP="00AA74F6">
            <w:pPr>
              <w:spacing w:after="120"/>
              <w:jc w:val="center"/>
              <w:rPr>
                <w:rFonts w:ascii="Arial" w:hAnsi="Arial" w:cs="Arial"/>
                <w:sz w:val="18"/>
                <w:szCs w:val="18"/>
              </w:rPr>
            </w:pPr>
            <w:r w:rsidRPr="008367BC">
              <w:rPr>
                <w:rFonts w:ascii="Arial" w:hAnsi="Arial" w:cs="Arial"/>
                <w:sz w:val="18"/>
                <w:szCs w:val="18"/>
              </w:rPr>
              <w:t>≤ 3,0</w:t>
            </w:r>
          </w:p>
        </w:tc>
        <w:tc>
          <w:tcPr>
            <w:tcW w:w="1731" w:type="dxa"/>
            <w:shd w:val="clear" w:color="auto" w:fill="auto"/>
            <w:vAlign w:val="center"/>
          </w:tcPr>
          <w:p w14:paraId="066643E5" w14:textId="77777777" w:rsidR="007B538E" w:rsidRPr="008367BC" w:rsidRDefault="007B538E" w:rsidP="00AA74F6">
            <w:pPr>
              <w:spacing w:after="120"/>
              <w:jc w:val="center"/>
              <w:rPr>
                <w:rFonts w:ascii="Arial" w:hAnsi="Arial" w:cs="Arial"/>
                <w:sz w:val="18"/>
                <w:szCs w:val="18"/>
              </w:rPr>
            </w:pPr>
            <w:r w:rsidRPr="008367BC">
              <w:rPr>
                <w:rFonts w:ascii="Arial" w:hAnsi="Arial" w:cs="Arial"/>
                <w:sz w:val="18"/>
                <w:szCs w:val="18"/>
              </w:rPr>
              <w:t>≤ 3,6</w:t>
            </w:r>
          </w:p>
        </w:tc>
      </w:tr>
    </w:tbl>
    <w:p w14:paraId="77FC27A5" w14:textId="77777777" w:rsidR="007B538E" w:rsidRPr="008367BC" w:rsidRDefault="007B538E" w:rsidP="007B538E">
      <w:pPr>
        <w:spacing w:after="120"/>
        <w:jc w:val="both"/>
        <w:rPr>
          <w:rFonts w:ascii="Arial" w:hAnsi="Arial" w:cs="Arial"/>
          <w:sz w:val="18"/>
          <w:szCs w:val="18"/>
        </w:rPr>
      </w:pPr>
      <w:r w:rsidRPr="008367BC">
        <w:rPr>
          <w:rFonts w:ascii="Arial" w:hAnsi="Arial" w:cs="Arial"/>
          <w:sz w:val="18"/>
          <w:szCs w:val="18"/>
        </w:rPr>
        <w:t>W tabeli 5 podano maksymalne dopuszczalne wartości wskaźników, powyżej których należy zastosować program naprawczy.</w:t>
      </w:r>
    </w:p>
    <w:p w14:paraId="1F89D8EF" w14:textId="77777777" w:rsidR="007B538E" w:rsidRPr="008367BC" w:rsidRDefault="007B538E" w:rsidP="007B538E">
      <w:pPr>
        <w:spacing w:after="120"/>
        <w:jc w:val="both"/>
        <w:rPr>
          <w:rFonts w:ascii="Arial" w:hAnsi="Arial" w:cs="Arial"/>
          <w:sz w:val="18"/>
          <w:szCs w:val="18"/>
        </w:rPr>
      </w:pPr>
      <w:r w:rsidRPr="008367BC">
        <w:rPr>
          <w:rFonts w:ascii="Arial" w:hAnsi="Arial" w:cs="Arial"/>
          <w:sz w:val="18"/>
          <w:szCs w:val="18"/>
        </w:rPr>
        <w:t xml:space="preserve">Do oceny równości podłużnej warstwy ścieralnej dróg klasy D należy stosować metodę pomiaru ciągłego równoważną użyciu łaty i klina z wykorzystaniem </w:t>
      </w:r>
      <w:proofErr w:type="spellStart"/>
      <w:r w:rsidRPr="008367BC">
        <w:rPr>
          <w:rFonts w:ascii="Arial" w:hAnsi="Arial" w:cs="Arial"/>
          <w:sz w:val="18"/>
          <w:szCs w:val="18"/>
        </w:rPr>
        <w:t>planografu</w:t>
      </w:r>
      <w:proofErr w:type="spellEnd"/>
      <w:r w:rsidRPr="008367BC">
        <w:rPr>
          <w:rFonts w:ascii="Arial" w:hAnsi="Arial" w:cs="Arial"/>
          <w:sz w:val="18"/>
          <w:szCs w:val="18"/>
        </w:rPr>
        <w:t xml:space="preserve">, umożliwiającego wyznaczenie odchyleń równości podłużnej jako największej odległości (prześwitu) pomiędzy teoretyczną linią łączącą spody kółek jezdnych urządzenia a mierzoną powierzchnią warstwy [mm]. W miejscach niedostępnych dla </w:t>
      </w:r>
      <w:proofErr w:type="spellStart"/>
      <w:r w:rsidRPr="008367BC">
        <w:rPr>
          <w:rFonts w:ascii="Arial" w:hAnsi="Arial" w:cs="Arial"/>
          <w:sz w:val="18"/>
          <w:szCs w:val="18"/>
        </w:rPr>
        <w:t>planografu</w:t>
      </w:r>
      <w:proofErr w:type="spellEnd"/>
      <w:r w:rsidRPr="008367BC">
        <w:rPr>
          <w:rFonts w:ascii="Arial" w:hAnsi="Arial" w:cs="Arial"/>
          <w:sz w:val="18"/>
          <w:szCs w:val="18"/>
        </w:rPr>
        <w:t xml:space="preserve"> pomiar równości podłużnej warstwy ścieralnej należy wykonać w sposób ciągły z użyciem łaty i klina. Długość łaty w pomiarze równości podłużnej powinna wynosić 4m.</w:t>
      </w:r>
    </w:p>
    <w:p w14:paraId="06540332" w14:textId="77777777" w:rsidR="007B538E" w:rsidRPr="008367BC" w:rsidRDefault="007B538E" w:rsidP="007B538E">
      <w:pPr>
        <w:spacing w:after="120"/>
        <w:jc w:val="both"/>
        <w:rPr>
          <w:rFonts w:ascii="Arial" w:hAnsi="Arial" w:cs="Arial"/>
          <w:sz w:val="18"/>
          <w:szCs w:val="18"/>
        </w:rPr>
      </w:pPr>
      <w:r w:rsidRPr="008367BC">
        <w:rPr>
          <w:rFonts w:ascii="Arial" w:hAnsi="Arial" w:cs="Arial"/>
          <w:sz w:val="18"/>
          <w:szCs w:val="18"/>
        </w:rPr>
        <w:t xml:space="preserve">Maksymalne dopuszczalne wartości odchyleń równości podłużnej przy odbiorze warstwy ścieralnej </w:t>
      </w:r>
      <w:proofErr w:type="spellStart"/>
      <w:r w:rsidRPr="008367BC">
        <w:rPr>
          <w:rFonts w:ascii="Arial" w:hAnsi="Arial" w:cs="Arial"/>
          <w:sz w:val="18"/>
          <w:szCs w:val="18"/>
        </w:rPr>
        <w:t>planografem</w:t>
      </w:r>
      <w:proofErr w:type="spellEnd"/>
      <w:r w:rsidRPr="008367BC">
        <w:rPr>
          <w:rFonts w:ascii="Arial" w:hAnsi="Arial" w:cs="Arial"/>
          <w:sz w:val="18"/>
          <w:szCs w:val="18"/>
        </w:rPr>
        <w:t xml:space="preserve"> (łatą i klinem) nie powinny przekraczać 12 mm.</w:t>
      </w:r>
    </w:p>
    <w:p w14:paraId="600B5BBF" w14:textId="77777777" w:rsidR="007B538E" w:rsidRPr="008367BC" w:rsidRDefault="007B538E" w:rsidP="007B538E">
      <w:pPr>
        <w:spacing w:after="120"/>
        <w:jc w:val="both"/>
        <w:rPr>
          <w:rFonts w:ascii="Arial" w:hAnsi="Arial" w:cs="Arial"/>
          <w:sz w:val="18"/>
          <w:szCs w:val="18"/>
        </w:rPr>
      </w:pPr>
    </w:p>
    <w:p w14:paraId="2ECB8C46" w14:textId="77777777" w:rsidR="007B538E" w:rsidRPr="008367BC" w:rsidRDefault="007B538E" w:rsidP="007B538E">
      <w:pPr>
        <w:numPr>
          <w:ilvl w:val="3"/>
          <w:numId w:val="4"/>
        </w:numPr>
        <w:spacing w:after="120"/>
        <w:ind w:left="851" w:hanging="851"/>
        <w:jc w:val="both"/>
        <w:rPr>
          <w:rFonts w:ascii="Arial" w:hAnsi="Arial" w:cs="Arial"/>
          <w:sz w:val="18"/>
          <w:szCs w:val="18"/>
        </w:rPr>
      </w:pPr>
      <w:r w:rsidRPr="008367BC">
        <w:rPr>
          <w:rFonts w:ascii="Arial" w:hAnsi="Arial" w:cs="Arial"/>
          <w:sz w:val="18"/>
          <w:szCs w:val="18"/>
        </w:rPr>
        <w:t>Nośność nawierzchni</w:t>
      </w:r>
    </w:p>
    <w:p w14:paraId="51D123C2" w14:textId="77777777" w:rsidR="007B538E" w:rsidRPr="008367BC" w:rsidRDefault="007B538E" w:rsidP="007B538E">
      <w:pPr>
        <w:spacing w:after="120"/>
        <w:jc w:val="both"/>
        <w:rPr>
          <w:rFonts w:ascii="Arial" w:hAnsi="Arial" w:cs="Arial"/>
          <w:sz w:val="18"/>
          <w:szCs w:val="18"/>
        </w:rPr>
      </w:pPr>
      <w:r w:rsidRPr="008367BC">
        <w:rPr>
          <w:rFonts w:ascii="Arial" w:hAnsi="Arial" w:cs="Arial"/>
          <w:sz w:val="18"/>
          <w:szCs w:val="18"/>
        </w:rPr>
        <w:t>Stan nośności warstw konstrukcyjnych nawierzchni będzie oceniany w oparciu o pomiary ugięć aparatem FWD. Aparat FWD (</w:t>
      </w:r>
      <w:proofErr w:type="spellStart"/>
      <w:r w:rsidRPr="008367BC">
        <w:rPr>
          <w:rFonts w:ascii="Arial" w:hAnsi="Arial" w:cs="Arial"/>
          <w:sz w:val="18"/>
          <w:szCs w:val="18"/>
        </w:rPr>
        <w:t>Falling</w:t>
      </w:r>
      <w:proofErr w:type="spellEnd"/>
      <w:r w:rsidRPr="008367BC">
        <w:rPr>
          <w:rFonts w:ascii="Arial" w:hAnsi="Arial" w:cs="Arial"/>
          <w:sz w:val="18"/>
          <w:szCs w:val="18"/>
        </w:rPr>
        <w:t xml:space="preserve"> </w:t>
      </w:r>
      <w:proofErr w:type="spellStart"/>
      <w:r w:rsidRPr="008367BC">
        <w:rPr>
          <w:rFonts w:ascii="Arial" w:hAnsi="Arial" w:cs="Arial"/>
          <w:sz w:val="18"/>
          <w:szCs w:val="18"/>
        </w:rPr>
        <w:t>Weight</w:t>
      </w:r>
      <w:proofErr w:type="spellEnd"/>
      <w:r w:rsidRPr="008367BC">
        <w:rPr>
          <w:rFonts w:ascii="Arial" w:hAnsi="Arial" w:cs="Arial"/>
          <w:sz w:val="18"/>
          <w:szCs w:val="18"/>
        </w:rPr>
        <w:t xml:space="preserve"> </w:t>
      </w:r>
      <w:proofErr w:type="spellStart"/>
      <w:r w:rsidRPr="008367BC">
        <w:rPr>
          <w:rFonts w:ascii="Arial" w:hAnsi="Arial" w:cs="Arial"/>
          <w:sz w:val="18"/>
          <w:szCs w:val="18"/>
        </w:rPr>
        <w:t>Deflectometer</w:t>
      </w:r>
      <w:proofErr w:type="spellEnd"/>
      <w:r w:rsidRPr="008367BC">
        <w:rPr>
          <w:rFonts w:ascii="Arial" w:hAnsi="Arial" w:cs="Arial"/>
          <w:sz w:val="18"/>
          <w:szCs w:val="18"/>
        </w:rPr>
        <w:t xml:space="preserve">) jest to </w:t>
      </w:r>
      <w:proofErr w:type="spellStart"/>
      <w:r w:rsidRPr="008367BC">
        <w:rPr>
          <w:rFonts w:ascii="Arial" w:hAnsi="Arial" w:cs="Arial"/>
          <w:sz w:val="18"/>
          <w:szCs w:val="18"/>
        </w:rPr>
        <w:t>ugięciomierz</w:t>
      </w:r>
      <w:proofErr w:type="spellEnd"/>
      <w:r w:rsidRPr="008367BC">
        <w:rPr>
          <w:rFonts w:ascii="Arial" w:hAnsi="Arial" w:cs="Arial"/>
          <w:sz w:val="18"/>
          <w:szCs w:val="18"/>
        </w:rPr>
        <w:t xml:space="preserve"> dynamiczny, w którym obciążenie testowe jest przekazywane na nawierzchnie w sposób symulujący przejazd pojazdu ciężkiego. </w:t>
      </w:r>
    </w:p>
    <w:p w14:paraId="5F55AA82" w14:textId="77777777" w:rsidR="007B538E" w:rsidRPr="008367BC" w:rsidRDefault="007B538E" w:rsidP="007B538E">
      <w:pPr>
        <w:spacing w:after="120"/>
        <w:jc w:val="both"/>
        <w:rPr>
          <w:rFonts w:ascii="Arial" w:hAnsi="Arial" w:cs="Arial"/>
          <w:sz w:val="18"/>
          <w:szCs w:val="18"/>
        </w:rPr>
      </w:pPr>
      <w:r w:rsidRPr="008367BC">
        <w:rPr>
          <w:rFonts w:ascii="Arial" w:hAnsi="Arial" w:cs="Arial"/>
          <w:sz w:val="18"/>
          <w:szCs w:val="18"/>
        </w:rPr>
        <w:t>Ocenę nośności nawierzchni należy wykonać tylko na odcinkach wskazujących na utratę nośności (ze względu na konieczność zamknięcia pasa ruchu podczas badań).</w:t>
      </w:r>
    </w:p>
    <w:p w14:paraId="747B1FAE" w14:textId="77777777" w:rsidR="007B538E" w:rsidRPr="008367BC" w:rsidRDefault="007B538E" w:rsidP="007B538E">
      <w:pPr>
        <w:spacing w:after="120"/>
        <w:jc w:val="both"/>
        <w:rPr>
          <w:rFonts w:ascii="Arial" w:hAnsi="Arial" w:cs="Arial"/>
          <w:sz w:val="18"/>
          <w:szCs w:val="18"/>
        </w:rPr>
      </w:pPr>
      <w:r w:rsidRPr="008367BC">
        <w:rPr>
          <w:rFonts w:ascii="Arial" w:hAnsi="Arial" w:cs="Arial"/>
          <w:sz w:val="18"/>
          <w:szCs w:val="18"/>
        </w:rPr>
        <w:t>Pomiary ugięć nawierzchni należy wykonywać w przypadkach szczególnych (wystąpienie uszkodzeń nawierzchni typu: spękania, koleiny, nierówności) świadczących o potencjalnej utracie nośności na odcinkach wskazanych przez Zamawiającego.</w:t>
      </w:r>
    </w:p>
    <w:p w14:paraId="327B49FA" w14:textId="77777777" w:rsidR="007B538E" w:rsidRPr="008367BC" w:rsidRDefault="007B538E" w:rsidP="007B538E">
      <w:pPr>
        <w:tabs>
          <w:tab w:val="left" w:pos="1134"/>
        </w:tabs>
        <w:spacing w:after="120"/>
        <w:jc w:val="both"/>
        <w:rPr>
          <w:rFonts w:ascii="Arial" w:hAnsi="Arial" w:cs="Arial"/>
          <w:sz w:val="18"/>
          <w:szCs w:val="18"/>
        </w:rPr>
      </w:pPr>
      <w:r w:rsidRPr="008367BC">
        <w:rPr>
          <w:rFonts w:ascii="Arial" w:hAnsi="Arial" w:cs="Arial"/>
          <w:sz w:val="18"/>
          <w:szCs w:val="18"/>
        </w:rPr>
        <w:t>Tabela 6.</w:t>
      </w:r>
      <w:r w:rsidRPr="008367BC">
        <w:rPr>
          <w:rFonts w:ascii="Arial" w:hAnsi="Arial" w:cs="Arial"/>
          <w:sz w:val="18"/>
          <w:szCs w:val="18"/>
        </w:rPr>
        <w:tab/>
        <w:t xml:space="preserve">Wymagane wartości nośności nawierzchni </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134"/>
        <w:gridCol w:w="1134"/>
        <w:gridCol w:w="1134"/>
        <w:gridCol w:w="1134"/>
        <w:gridCol w:w="1134"/>
      </w:tblGrid>
      <w:tr w:rsidR="007B538E" w:rsidRPr="008367BC" w14:paraId="2A4123E7" w14:textId="77777777" w:rsidTr="00AA74F6">
        <w:tc>
          <w:tcPr>
            <w:tcW w:w="2835" w:type="dxa"/>
            <w:vMerge w:val="restart"/>
            <w:shd w:val="clear" w:color="auto" w:fill="auto"/>
            <w:vAlign w:val="center"/>
          </w:tcPr>
          <w:p w14:paraId="3ED1C7B9" w14:textId="77777777" w:rsidR="007B538E" w:rsidRPr="008367BC" w:rsidRDefault="007B538E" w:rsidP="00AA74F6">
            <w:pPr>
              <w:spacing w:after="120"/>
              <w:jc w:val="center"/>
              <w:rPr>
                <w:rFonts w:ascii="Arial" w:hAnsi="Arial" w:cs="Arial"/>
                <w:sz w:val="18"/>
                <w:szCs w:val="18"/>
              </w:rPr>
            </w:pPr>
            <w:r w:rsidRPr="008367BC">
              <w:rPr>
                <w:rFonts w:ascii="Arial" w:hAnsi="Arial" w:cs="Arial"/>
                <w:sz w:val="18"/>
                <w:szCs w:val="18"/>
              </w:rPr>
              <w:t>Parametr</w:t>
            </w:r>
          </w:p>
        </w:tc>
        <w:tc>
          <w:tcPr>
            <w:tcW w:w="5670" w:type="dxa"/>
            <w:gridSpan w:val="5"/>
            <w:shd w:val="clear" w:color="auto" w:fill="auto"/>
            <w:vAlign w:val="center"/>
          </w:tcPr>
          <w:p w14:paraId="10E7DE20" w14:textId="77777777" w:rsidR="007B538E" w:rsidRPr="008367BC" w:rsidRDefault="007B538E" w:rsidP="00AA74F6">
            <w:pPr>
              <w:spacing w:after="120"/>
              <w:jc w:val="center"/>
              <w:rPr>
                <w:rFonts w:ascii="Arial" w:hAnsi="Arial" w:cs="Arial"/>
                <w:sz w:val="18"/>
                <w:szCs w:val="18"/>
              </w:rPr>
            </w:pPr>
            <w:r w:rsidRPr="008367BC">
              <w:rPr>
                <w:rFonts w:ascii="Arial" w:hAnsi="Arial" w:cs="Arial"/>
                <w:sz w:val="18"/>
                <w:szCs w:val="18"/>
              </w:rPr>
              <w:t>Kategoria ruchu</w:t>
            </w:r>
          </w:p>
        </w:tc>
      </w:tr>
      <w:tr w:rsidR="007B538E" w:rsidRPr="008367BC" w14:paraId="71C06FC4" w14:textId="77777777" w:rsidTr="00AA74F6">
        <w:tc>
          <w:tcPr>
            <w:tcW w:w="2835" w:type="dxa"/>
            <w:vMerge/>
            <w:shd w:val="clear" w:color="auto" w:fill="auto"/>
          </w:tcPr>
          <w:p w14:paraId="200B2A30" w14:textId="77777777" w:rsidR="007B538E" w:rsidRPr="008367BC" w:rsidRDefault="007B538E" w:rsidP="00AA74F6">
            <w:pPr>
              <w:spacing w:after="120"/>
              <w:jc w:val="center"/>
              <w:rPr>
                <w:rFonts w:ascii="Arial" w:hAnsi="Arial" w:cs="Arial"/>
                <w:sz w:val="18"/>
                <w:szCs w:val="18"/>
              </w:rPr>
            </w:pPr>
          </w:p>
        </w:tc>
        <w:tc>
          <w:tcPr>
            <w:tcW w:w="1134" w:type="dxa"/>
            <w:shd w:val="clear" w:color="auto" w:fill="auto"/>
            <w:vAlign w:val="center"/>
          </w:tcPr>
          <w:p w14:paraId="675E4209" w14:textId="77777777" w:rsidR="007B538E" w:rsidRPr="008367BC" w:rsidRDefault="007B538E" w:rsidP="00AA74F6">
            <w:pPr>
              <w:spacing w:after="120"/>
              <w:jc w:val="center"/>
              <w:rPr>
                <w:rFonts w:ascii="Arial" w:hAnsi="Arial" w:cs="Arial"/>
                <w:sz w:val="18"/>
                <w:szCs w:val="18"/>
              </w:rPr>
            </w:pPr>
            <w:r w:rsidRPr="008367BC">
              <w:rPr>
                <w:rFonts w:ascii="Arial" w:hAnsi="Arial" w:cs="Arial"/>
                <w:sz w:val="18"/>
                <w:szCs w:val="18"/>
              </w:rPr>
              <w:t>KR1-2</w:t>
            </w:r>
          </w:p>
        </w:tc>
        <w:tc>
          <w:tcPr>
            <w:tcW w:w="1134" w:type="dxa"/>
            <w:shd w:val="clear" w:color="auto" w:fill="auto"/>
            <w:vAlign w:val="center"/>
          </w:tcPr>
          <w:p w14:paraId="261841DE" w14:textId="77777777" w:rsidR="007B538E" w:rsidRPr="008367BC" w:rsidRDefault="007B538E" w:rsidP="00AA74F6">
            <w:pPr>
              <w:spacing w:after="120"/>
              <w:jc w:val="center"/>
              <w:rPr>
                <w:rFonts w:ascii="Arial" w:hAnsi="Arial" w:cs="Arial"/>
                <w:sz w:val="18"/>
                <w:szCs w:val="18"/>
              </w:rPr>
            </w:pPr>
            <w:r w:rsidRPr="008367BC">
              <w:rPr>
                <w:rFonts w:ascii="Arial" w:hAnsi="Arial" w:cs="Arial"/>
                <w:sz w:val="18"/>
                <w:szCs w:val="18"/>
              </w:rPr>
              <w:t>KR3</w:t>
            </w:r>
          </w:p>
        </w:tc>
        <w:tc>
          <w:tcPr>
            <w:tcW w:w="1134" w:type="dxa"/>
            <w:shd w:val="clear" w:color="auto" w:fill="auto"/>
            <w:vAlign w:val="center"/>
          </w:tcPr>
          <w:p w14:paraId="0BA39906" w14:textId="77777777" w:rsidR="007B538E" w:rsidRPr="008367BC" w:rsidRDefault="007B538E" w:rsidP="00AA74F6">
            <w:pPr>
              <w:spacing w:after="120"/>
              <w:jc w:val="center"/>
              <w:rPr>
                <w:rFonts w:ascii="Arial" w:hAnsi="Arial" w:cs="Arial"/>
                <w:sz w:val="18"/>
                <w:szCs w:val="18"/>
              </w:rPr>
            </w:pPr>
            <w:r w:rsidRPr="008367BC">
              <w:rPr>
                <w:rFonts w:ascii="Arial" w:hAnsi="Arial" w:cs="Arial"/>
                <w:sz w:val="18"/>
                <w:szCs w:val="18"/>
              </w:rPr>
              <w:t>KR4</w:t>
            </w:r>
          </w:p>
        </w:tc>
        <w:tc>
          <w:tcPr>
            <w:tcW w:w="1134" w:type="dxa"/>
            <w:shd w:val="clear" w:color="auto" w:fill="auto"/>
            <w:vAlign w:val="center"/>
          </w:tcPr>
          <w:p w14:paraId="1E323793" w14:textId="77777777" w:rsidR="007B538E" w:rsidRPr="008367BC" w:rsidRDefault="007B538E" w:rsidP="00AA74F6">
            <w:pPr>
              <w:spacing w:after="120"/>
              <w:jc w:val="center"/>
              <w:rPr>
                <w:rFonts w:ascii="Arial" w:hAnsi="Arial" w:cs="Arial"/>
                <w:sz w:val="18"/>
                <w:szCs w:val="18"/>
              </w:rPr>
            </w:pPr>
            <w:r w:rsidRPr="008367BC">
              <w:rPr>
                <w:rFonts w:ascii="Arial" w:hAnsi="Arial" w:cs="Arial"/>
                <w:sz w:val="18"/>
                <w:szCs w:val="18"/>
              </w:rPr>
              <w:t>KR5</w:t>
            </w:r>
          </w:p>
        </w:tc>
        <w:tc>
          <w:tcPr>
            <w:tcW w:w="1134" w:type="dxa"/>
            <w:shd w:val="clear" w:color="auto" w:fill="auto"/>
            <w:vAlign w:val="center"/>
          </w:tcPr>
          <w:p w14:paraId="078AC551" w14:textId="77777777" w:rsidR="007B538E" w:rsidRPr="008367BC" w:rsidRDefault="007B538E" w:rsidP="00AA74F6">
            <w:pPr>
              <w:spacing w:after="120"/>
              <w:jc w:val="center"/>
              <w:rPr>
                <w:rFonts w:ascii="Arial" w:hAnsi="Arial" w:cs="Arial"/>
                <w:sz w:val="18"/>
                <w:szCs w:val="18"/>
              </w:rPr>
            </w:pPr>
            <w:r w:rsidRPr="008367BC">
              <w:rPr>
                <w:rFonts w:ascii="Arial" w:hAnsi="Arial" w:cs="Arial"/>
                <w:sz w:val="18"/>
                <w:szCs w:val="18"/>
              </w:rPr>
              <w:t>KR6-7</w:t>
            </w:r>
          </w:p>
        </w:tc>
      </w:tr>
      <w:tr w:rsidR="007B538E" w:rsidRPr="008367BC" w14:paraId="1D0A53C3" w14:textId="77777777" w:rsidTr="00AA74F6">
        <w:tc>
          <w:tcPr>
            <w:tcW w:w="2835" w:type="dxa"/>
            <w:shd w:val="clear" w:color="auto" w:fill="auto"/>
            <w:vAlign w:val="center"/>
          </w:tcPr>
          <w:p w14:paraId="7E8CAD02" w14:textId="77777777" w:rsidR="007B538E" w:rsidRPr="008367BC" w:rsidRDefault="007B538E" w:rsidP="00AA74F6">
            <w:pPr>
              <w:spacing w:after="120"/>
              <w:jc w:val="center"/>
              <w:rPr>
                <w:rFonts w:ascii="Arial" w:hAnsi="Arial" w:cs="Arial"/>
                <w:sz w:val="18"/>
                <w:szCs w:val="18"/>
              </w:rPr>
            </w:pPr>
            <w:r w:rsidRPr="008367BC">
              <w:rPr>
                <w:rFonts w:ascii="Arial" w:hAnsi="Arial" w:cs="Arial"/>
                <w:sz w:val="18"/>
                <w:szCs w:val="18"/>
              </w:rPr>
              <w:t xml:space="preserve">Miarodajny wskaźnik ugięcia U, </w:t>
            </w:r>
            <w:r w:rsidRPr="008367BC">
              <w:rPr>
                <w:rFonts w:ascii="Arial" w:hAnsi="Arial" w:cs="Arial"/>
                <w:sz w:val="18"/>
                <w:szCs w:val="18"/>
              </w:rPr>
              <w:sym w:font="SymbolPS" w:char="F06D"/>
            </w:r>
            <w:r w:rsidRPr="008367BC">
              <w:rPr>
                <w:rFonts w:ascii="Arial" w:hAnsi="Arial" w:cs="Arial"/>
                <w:sz w:val="18"/>
                <w:szCs w:val="18"/>
              </w:rPr>
              <w:t>m</w:t>
            </w:r>
          </w:p>
        </w:tc>
        <w:tc>
          <w:tcPr>
            <w:tcW w:w="1134" w:type="dxa"/>
            <w:shd w:val="clear" w:color="auto" w:fill="auto"/>
            <w:vAlign w:val="center"/>
          </w:tcPr>
          <w:p w14:paraId="75D61AD6" w14:textId="77777777" w:rsidR="007B538E" w:rsidRPr="008367BC" w:rsidRDefault="007B538E" w:rsidP="00AA74F6">
            <w:pPr>
              <w:spacing w:after="120"/>
              <w:jc w:val="center"/>
              <w:rPr>
                <w:rFonts w:ascii="Arial" w:hAnsi="Arial" w:cs="Arial"/>
                <w:sz w:val="18"/>
                <w:szCs w:val="18"/>
              </w:rPr>
            </w:pPr>
            <w:r w:rsidRPr="008367BC">
              <w:rPr>
                <w:rFonts w:ascii="Arial" w:hAnsi="Arial" w:cs="Arial"/>
                <w:sz w:val="18"/>
                <w:szCs w:val="18"/>
              </w:rPr>
              <w:t>≤ 550</w:t>
            </w:r>
          </w:p>
        </w:tc>
        <w:tc>
          <w:tcPr>
            <w:tcW w:w="1134" w:type="dxa"/>
            <w:shd w:val="clear" w:color="auto" w:fill="auto"/>
            <w:vAlign w:val="center"/>
          </w:tcPr>
          <w:p w14:paraId="31D08059" w14:textId="77777777" w:rsidR="007B538E" w:rsidRPr="008367BC" w:rsidRDefault="007B538E" w:rsidP="00AA74F6">
            <w:pPr>
              <w:spacing w:after="120"/>
              <w:jc w:val="center"/>
              <w:rPr>
                <w:rFonts w:ascii="Arial" w:hAnsi="Arial" w:cs="Arial"/>
                <w:sz w:val="18"/>
                <w:szCs w:val="18"/>
              </w:rPr>
            </w:pPr>
            <w:r w:rsidRPr="008367BC">
              <w:rPr>
                <w:rFonts w:ascii="Arial" w:hAnsi="Arial" w:cs="Arial"/>
                <w:sz w:val="18"/>
                <w:szCs w:val="18"/>
              </w:rPr>
              <w:t>≤ 390</w:t>
            </w:r>
          </w:p>
        </w:tc>
        <w:tc>
          <w:tcPr>
            <w:tcW w:w="1134" w:type="dxa"/>
            <w:shd w:val="clear" w:color="auto" w:fill="auto"/>
            <w:vAlign w:val="center"/>
          </w:tcPr>
          <w:p w14:paraId="26D8B2DF" w14:textId="77777777" w:rsidR="007B538E" w:rsidRPr="008367BC" w:rsidRDefault="007B538E" w:rsidP="00AA74F6">
            <w:pPr>
              <w:spacing w:after="120"/>
              <w:jc w:val="center"/>
              <w:rPr>
                <w:rFonts w:ascii="Arial" w:hAnsi="Arial" w:cs="Arial"/>
                <w:sz w:val="18"/>
                <w:szCs w:val="18"/>
              </w:rPr>
            </w:pPr>
            <w:r w:rsidRPr="008367BC">
              <w:rPr>
                <w:rFonts w:ascii="Arial" w:hAnsi="Arial" w:cs="Arial"/>
                <w:sz w:val="18"/>
                <w:szCs w:val="18"/>
              </w:rPr>
              <w:t>≤ 300</w:t>
            </w:r>
          </w:p>
        </w:tc>
        <w:tc>
          <w:tcPr>
            <w:tcW w:w="1134" w:type="dxa"/>
            <w:shd w:val="clear" w:color="auto" w:fill="auto"/>
            <w:vAlign w:val="center"/>
          </w:tcPr>
          <w:p w14:paraId="6252D500" w14:textId="77777777" w:rsidR="007B538E" w:rsidRPr="008367BC" w:rsidRDefault="007B538E" w:rsidP="00AA74F6">
            <w:pPr>
              <w:spacing w:after="120"/>
              <w:jc w:val="center"/>
              <w:rPr>
                <w:rFonts w:ascii="Arial" w:hAnsi="Arial" w:cs="Arial"/>
                <w:sz w:val="18"/>
                <w:szCs w:val="18"/>
              </w:rPr>
            </w:pPr>
            <w:r w:rsidRPr="008367BC">
              <w:rPr>
                <w:rFonts w:ascii="Arial" w:hAnsi="Arial" w:cs="Arial"/>
                <w:sz w:val="18"/>
                <w:szCs w:val="18"/>
              </w:rPr>
              <w:t>≤ 250</w:t>
            </w:r>
          </w:p>
        </w:tc>
        <w:tc>
          <w:tcPr>
            <w:tcW w:w="1134" w:type="dxa"/>
            <w:shd w:val="clear" w:color="auto" w:fill="auto"/>
            <w:vAlign w:val="center"/>
          </w:tcPr>
          <w:p w14:paraId="1EC23F7D" w14:textId="77777777" w:rsidR="007B538E" w:rsidRPr="008367BC" w:rsidRDefault="007B538E" w:rsidP="00AA74F6">
            <w:pPr>
              <w:spacing w:after="120"/>
              <w:jc w:val="center"/>
              <w:rPr>
                <w:rFonts w:ascii="Arial" w:hAnsi="Arial" w:cs="Arial"/>
                <w:sz w:val="18"/>
                <w:szCs w:val="18"/>
              </w:rPr>
            </w:pPr>
            <w:r w:rsidRPr="008367BC">
              <w:rPr>
                <w:rFonts w:ascii="Arial" w:hAnsi="Arial" w:cs="Arial"/>
                <w:sz w:val="18"/>
                <w:szCs w:val="18"/>
              </w:rPr>
              <w:t>≤ 205</w:t>
            </w:r>
          </w:p>
        </w:tc>
      </w:tr>
      <w:tr w:rsidR="007B538E" w:rsidRPr="008367BC" w14:paraId="0C15D51C" w14:textId="77777777" w:rsidTr="00AA74F6">
        <w:tc>
          <w:tcPr>
            <w:tcW w:w="2835" w:type="dxa"/>
            <w:shd w:val="clear" w:color="auto" w:fill="auto"/>
            <w:vAlign w:val="center"/>
          </w:tcPr>
          <w:p w14:paraId="303C1FE8" w14:textId="77777777" w:rsidR="007B538E" w:rsidRPr="008367BC" w:rsidRDefault="007B538E" w:rsidP="00AA74F6">
            <w:pPr>
              <w:spacing w:after="120"/>
              <w:jc w:val="center"/>
              <w:rPr>
                <w:rFonts w:ascii="Arial" w:hAnsi="Arial" w:cs="Arial"/>
                <w:sz w:val="18"/>
                <w:szCs w:val="18"/>
                <w:highlight w:val="yellow"/>
              </w:rPr>
            </w:pPr>
            <w:r w:rsidRPr="008367BC">
              <w:rPr>
                <w:rFonts w:ascii="Arial" w:hAnsi="Arial" w:cs="Arial"/>
                <w:sz w:val="18"/>
                <w:szCs w:val="18"/>
              </w:rPr>
              <w:t xml:space="preserve">Miarodajny wskaźnik SCI300, </w:t>
            </w:r>
            <w:r w:rsidRPr="008367BC">
              <w:rPr>
                <w:rFonts w:ascii="Arial" w:hAnsi="Arial" w:cs="Arial"/>
                <w:sz w:val="18"/>
                <w:szCs w:val="18"/>
              </w:rPr>
              <w:sym w:font="SymbolPS" w:char="F06D"/>
            </w:r>
            <w:r w:rsidRPr="008367BC">
              <w:rPr>
                <w:rFonts w:ascii="Arial" w:hAnsi="Arial" w:cs="Arial"/>
                <w:sz w:val="18"/>
                <w:szCs w:val="18"/>
              </w:rPr>
              <w:t>m</w:t>
            </w:r>
          </w:p>
        </w:tc>
        <w:tc>
          <w:tcPr>
            <w:tcW w:w="1134" w:type="dxa"/>
            <w:shd w:val="clear" w:color="auto" w:fill="auto"/>
            <w:vAlign w:val="center"/>
          </w:tcPr>
          <w:p w14:paraId="0DA0C660" w14:textId="77777777" w:rsidR="007B538E" w:rsidRPr="008367BC" w:rsidRDefault="007B538E" w:rsidP="00AA74F6">
            <w:pPr>
              <w:spacing w:after="120"/>
              <w:jc w:val="center"/>
              <w:rPr>
                <w:rFonts w:ascii="Arial" w:hAnsi="Arial" w:cs="Arial"/>
                <w:sz w:val="18"/>
                <w:szCs w:val="18"/>
              </w:rPr>
            </w:pPr>
            <w:r w:rsidRPr="008367BC">
              <w:rPr>
                <w:rFonts w:ascii="Arial" w:hAnsi="Arial" w:cs="Arial"/>
                <w:sz w:val="18"/>
                <w:szCs w:val="18"/>
              </w:rPr>
              <w:t>≤ 115</w:t>
            </w:r>
          </w:p>
        </w:tc>
        <w:tc>
          <w:tcPr>
            <w:tcW w:w="1134" w:type="dxa"/>
            <w:shd w:val="clear" w:color="auto" w:fill="auto"/>
            <w:vAlign w:val="center"/>
          </w:tcPr>
          <w:p w14:paraId="6BE7021A" w14:textId="77777777" w:rsidR="007B538E" w:rsidRPr="008367BC" w:rsidRDefault="007B538E" w:rsidP="00AA74F6">
            <w:pPr>
              <w:spacing w:after="120"/>
              <w:jc w:val="center"/>
              <w:rPr>
                <w:rFonts w:ascii="Arial" w:hAnsi="Arial" w:cs="Arial"/>
                <w:sz w:val="18"/>
                <w:szCs w:val="18"/>
              </w:rPr>
            </w:pPr>
            <w:r w:rsidRPr="008367BC">
              <w:rPr>
                <w:rFonts w:ascii="Arial" w:hAnsi="Arial" w:cs="Arial"/>
                <w:sz w:val="18"/>
                <w:szCs w:val="18"/>
              </w:rPr>
              <w:t>≤ 70</w:t>
            </w:r>
          </w:p>
        </w:tc>
        <w:tc>
          <w:tcPr>
            <w:tcW w:w="1134" w:type="dxa"/>
            <w:shd w:val="clear" w:color="auto" w:fill="auto"/>
            <w:vAlign w:val="center"/>
          </w:tcPr>
          <w:p w14:paraId="18488640" w14:textId="77777777" w:rsidR="007B538E" w:rsidRPr="008367BC" w:rsidRDefault="007B538E" w:rsidP="00AA74F6">
            <w:pPr>
              <w:spacing w:after="120"/>
              <w:jc w:val="center"/>
              <w:rPr>
                <w:rFonts w:ascii="Arial" w:hAnsi="Arial" w:cs="Arial"/>
                <w:sz w:val="18"/>
                <w:szCs w:val="18"/>
              </w:rPr>
            </w:pPr>
            <w:r w:rsidRPr="008367BC">
              <w:rPr>
                <w:rFonts w:ascii="Arial" w:hAnsi="Arial" w:cs="Arial"/>
                <w:sz w:val="18"/>
                <w:szCs w:val="18"/>
              </w:rPr>
              <w:t>≤ 50</w:t>
            </w:r>
          </w:p>
        </w:tc>
        <w:tc>
          <w:tcPr>
            <w:tcW w:w="1134" w:type="dxa"/>
            <w:shd w:val="clear" w:color="auto" w:fill="auto"/>
            <w:vAlign w:val="center"/>
          </w:tcPr>
          <w:p w14:paraId="315300D2" w14:textId="77777777" w:rsidR="007B538E" w:rsidRPr="008367BC" w:rsidRDefault="007B538E" w:rsidP="00AA74F6">
            <w:pPr>
              <w:spacing w:after="120"/>
              <w:jc w:val="center"/>
              <w:rPr>
                <w:rFonts w:ascii="Arial" w:hAnsi="Arial" w:cs="Arial"/>
                <w:sz w:val="18"/>
                <w:szCs w:val="18"/>
              </w:rPr>
            </w:pPr>
            <w:r w:rsidRPr="008367BC">
              <w:rPr>
                <w:rFonts w:ascii="Arial" w:hAnsi="Arial" w:cs="Arial"/>
                <w:sz w:val="18"/>
                <w:szCs w:val="18"/>
              </w:rPr>
              <w:t>≤ 40</w:t>
            </w:r>
          </w:p>
        </w:tc>
        <w:tc>
          <w:tcPr>
            <w:tcW w:w="1134" w:type="dxa"/>
            <w:shd w:val="clear" w:color="auto" w:fill="auto"/>
            <w:vAlign w:val="center"/>
          </w:tcPr>
          <w:p w14:paraId="58533B46" w14:textId="77777777" w:rsidR="007B538E" w:rsidRPr="008367BC" w:rsidRDefault="007B538E" w:rsidP="00AA74F6">
            <w:pPr>
              <w:spacing w:after="120"/>
              <w:jc w:val="center"/>
              <w:rPr>
                <w:rFonts w:ascii="Arial" w:hAnsi="Arial" w:cs="Arial"/>
                <w:sz w:val="18"/>
                <w:szCs w:val="18"/>
              </w:rPr>
            </w:pPr>
            <w:r w:rsidRPr="008367BC">
              <w:rPr>
                <w:rFonts w:ascii="Arial" w:hAnsi="Arial" w:cs="Arial"/>
                <w:sz w:val="18"/>
                <w:szCs w:val="18"/>
              </w:rPr>
              <w:t>≤ 30</w:t>
            </w:r>
          </w:p>
        </w:tc>
      </w:tr>
    </w:tbl>
    <w:p w14:paraId="3C9D3D22" w14:textId="77777777" w:rsidR="007B538E" w:rsidRPr="008367BC" w:rsidRDefault="007B538E" w:rsidP="007B538E">
      <w:pPr>
        <w:spacing w:after="120"/>
        <w:jc w:val="both"/>
        <w:rPr>
          <w:rFonts w:ascii="Arial" w:hAnsi="Arial" w:cs="Arial"/>
          <w:sz w:val="18"/>
          <w:szCs w:val="18"/>
        </w:rPr>
      </w:pPr>
      <w:r w:rsidRPr="008367BC">
        <w:rPr>
          <w:rFonts w:ascii="Arial" w:hAnsi="Arial" w:cs="Arial"/>
          <w:sz w:val="18"/>
          <w:szCs w:val="18"/>
        </w:rPr>
        <w:t>W tabeli 6 podano maksymalne dopuszczalne wartości parametrów, powyżej których należy zastosować program naprawczy zgodnie z warunkami kontraktu.</w:t>
      </w:r>
    </w:p>
    <w:p w14:paraId="773F1066" w14:textId="77777777" w:rsidR="007B538E" w:rsidRPr="008367BC" w:rsidRDefault="007B538E" w:rsidP="007B538E">
      <w:pPr>
        <w:spacing w:after="120"/>
        <w:jc w:val="both"/>
        <w:rPr>
          <w:rFonts w:ascii="Arial" w:hAnsi="Arial" w:cs="Arial"/>
          <w:sz w:val="18"/>
          <w:szCs w:val="18"/>
        </w:rPr>
      </w:pPr>
      <w:r w:rsidRPr="008367BC">
        <w:rPr>
          <w:rFonts w:ascii="Arial" w:hAnsi="Arial" w:cs="Arial"/>
          <w:b/>
          <w:sz w:val="18"/>
          <w:szCs w:val="18"/>
        </w:rPr>
        <w:t>Miarodajny wskaźnik ugięcia</w:t>
      </w:r>
      <w:r w:rsidRPr="008367BC">
        <w:rPr>
          <w:rFonts w:ascii="Arial" w:hAnsi="Arial" w:cs="Arial"/>
          <w:sz w:val="18"/>
          <w:szCs w:val="18"/>
        </w:rPr>
        <w:t xml:space="preserve"> jest obliczany jako suma wartości średniej i odchylenia standardowego wskaźników ugięć dla wyników z kilometrowego odcinka drogi, krok pomiarowy co 50 m. Wartość wyznacza się wg wzoru:</w:t>
      </w:r>
    </w:p>
    <w:p w14:paraId="49650B18" w14:textId="77777777" w:rsidR="007B538E" w:rsidRPr="008367BC" w:rsidRDefault="007B538E" w:rsidP="007B538E">
      <w:pPr>
        <w:spacing w:after="120"/>
        <w:jc w:val="center"/>
        <w:rPr>
          <w:rFonts w:ascii="Arial" w:hAnsi="Arial" w:cs="Arial"/>
          <w:sz w:val="18"/>
          <w:szCs w:val="18"/>
        </w:rPr>
      </w:pPr>
    </w:p>
    <w:p w14:paraId="4467833E" w14:textId="77777777" w:rsidR="007B538E" w:rsidRPr="008367BC" w:rsidRDefault="007B538E" w:rsidP="007B538E">
      <w:pPr>
        <w:spacing w:after="120"/>
        <w:jc w:val="center"/>
        <w:rPr>
          <w:rFonts w:ascii="Arial" w:hAnsi="Arial" w:cs="Arial"/>
          <w:sz w:val="18"/>
          <w:szCs w:val="18"/>
        </w:rPr>
      </w:pPr>
      <w:r w:rsidRPr="008367BC">
        <w:rPr>
          <w:rFonts w:ascii="Arial" w:hAnsi="Arial" w:cs="Arial"/>
          <w:noProof/>
          <w:sz w:val="18"/>
          <w:szCs w:val="18"/>
        </w:rPr>
        <w:drawing>
          <wp:inline distT="0" distB="0" distL="0" distR="0" wp14:anchorId="3B6DCD8C" wp14:editId="7E735902">
            <wp:extent cx="1028700" cy="6096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609600"/>
                    </a:xfrm>
                    <a:prstGeom prst="rect">
                      <a:avLst/>
                    </a:prstGeom>
                    <a:noFill/>
                    <a:ln>
                      <a:noFill/>
                    </a:ln>
                  </pic:spPr>
                </pic:pic>
              </a:graphicData>
            </a:graphic>
          </wp:inline>
        </w:drawing>
      </w:r>
    </w:p>
    <w:p w14:paraId="5222AE19" w14:textId="77777777" w:rsidR="007B538E" w:rsidRPr="008367BC" w:rsidRDefault="007B538E" w:rsidP="007B538E">
      <w:pPr>
        <w:spacing w:after="120"/>
        <w:jc w:val="both"/>
        <w:rPr>
          <w:rFonts w:ascii="Arial" w:hAnsi="Arial" w:cs="Arial"/>
          <w:sz w:val="18"/>
          <w:szCs w:val="18"/>
        </w:rPr>
      </w:pPr>
      <w:r w:rsidRPr="008367BC">
        <w:rPr>
          <w:rFonts w:ascii="Arial" w:hAnsi="Arial" w:cs="Arial"/>
          <w:sz w:val="18"/>
          <w:szCs w:val="18"/>
        </w:rPr>
        <w:t>gdzie:</w:t>
      </w:r>
    </w:p>
    <w:p w14:paraId="177DE75A" w14:textId="77777777" w:rsidR="007B538E" w:rsidRPr="008367BC" w:rsidRDefault="007B538E" w:rsidP="007B538E">
      <w:pPr>
        <w:spacing w:after="120"/>
        <w:rPr>
          <w:rFonts w:ascii="Arial" w:hAnsi="Arial" w:cs="Arial"/>
          <w:sz w:val="18"/>
          <w:szCs w:val="18"/>
        </w:rPr>
      </w:pPr>
      <w:r w:rsidRPr="008367BC">
        <w:rPr>
          <w:rFonts w:ascii="Arial" w:hAnsi="Arial" w:cs="Arial"/>
          <w:sz w:val="18"/>
          <w:szCs w:val="18"/>
        </w:rPr>
        <w:t xml:space="preserve">U </w:t>
      </w:r>
      <w:r w:rsidRPr="008367BC">
        <w:rPr>
          <w:rFonts w:ascii="Arial" w:hAnsi="Arial" w:cs="Arial"/>
          <w:sz w:val="18"/>
          <w:szCs w:val="18"/>
        </w:rPr>
        <w:tab/>
        <w:t>miarodajny wskaźnik ugięcia,</w:t>
      </w:r>
    </w:p>
    <w:p w14:paraId="54211B3F" w14:textId="77777777" w:rsidR="007B538E" w:rsidRPr="008367BC" w:rsidRDefault="007B538E" w:rsidP="007B538E">
      <w:pPr>
        <w:tabs>
          <w:tab w:val="left" w:pos="709"/>
        </w:tabs>
        <w:spacing w:after="120"/>
        <w:rPr>
          <w:rFonts w:ascii="Arial" w:hAnsi="Arial" w:cs="Arial"/>
          <w:sz w:val="18"/>
          <w:szCs w:val="18"/>
        </w:rPr>
      </w:pPr>
      <w:proofErr w:type="spellStart"/>
      <w:r w:rsidRPr="008367BC">
        <w:rPr>
          <w:rFonts w:ascii="Arial" w:hAnsi="Arial" w:cs="Arial"/>
          <w:sz w:val="18"/>
          <w:szCs w:val="18"/>
        </w:rPr>
        <w:t>us</w:t>
      </w:r>
      <w:proofErr w:type="spellEnd"/>
      <w:r w:rsidRPr="008367BC">
        <w:rPr>
          <w:rFonts w:ascii="Arial" w:hAnsi="Arial" w:cs="Arial"/>
          <w:sz w:val="18"/>
          <w:szCs w:val="18"/>
        </w:rPr>
        <w:t xml:space="preserve"> </w:t>
      </w:r>
      <w:r w:rsidRPr="008367BC">
        <w:rPr>
          <w:rFonts w:ascii="Arial" w:hAnsi="Arial" w:cs="Arial"/>
          <w:sz w:val="18"/>
          <w:szCs w:val="18"/>
        </w:rPr>
        <w:tab/>
        <w:t>standaryzowana wartość pojedynczego pomiaru ugięcia,</w:t>
      </w:r>
    </w:p>
    <w:p w14:paraId="151F1888" w14:textId="77777777" w:rsidR="007B538E" w:rsidRPr="008367BC" w:rsidRDefault="007B538E" w:rsidP="007B538E">
      <w:pPr>
        <w:tabs>
          <w:tab w:val="left" w:pos="709"/>
        </w:tabs>
        <w:spacing w:after="120"/>
        <w:rPr>
          <w:rFonts w:ascii="Arial" w:hAnsi="Arial" w:cs="Arial"/>
          <w:sz w:val="18"/>
          <w:szCs w:val="18"/>
        </w:rPr>
      </w:pPr>
      <w:r w:rsidRPr="008367BC">
        <w:rPr>
          <w:rFonts w:ascii="Arial" w:hAnsi="Arial" w:cs="Arial"/>
          <w:sz w:val="18"/>
          <w:szCs w:val="18"/>
        </w:rPr>
        <w:t xml:space="preserve">n </w:t>
      </w:r>
      <w:r w:rsidRPr="008367BC">
        <w:rPr>
          <w:rFonts w:ascii="Arial" w:hAnsi="Arial" w:cs="Arial"/>
          <w:sz w:val="18"/>
          <w:szCs w:val="18"/>
        </w:rPr>
        <w:tab/>
        <w:t>liczba ugięć standaryzowanych na odcinku.</w:t>
      </w:r>
    </w:p>
    <w:p w14:paraId="64FCC84F" w14:textId="77777777" w:rsidR="007B538E" w:rsidRPr="008367BC" w:rsidRDefault="007B538E" w:rsidP="007B538E">
      <w:pPr>
        <w:tabs>
          <w:tab w:val="left" w:pos="709"/>
        </w:tabs>
        <w:spacing w:after="120"/>
        <w:ind w:left="709" w:hanging="709"/>
        <w:rPr>
          <w:rFonts w:ascii="Arial" w:hAnsi="Arial" w:cs="Arial"/>
          <w:sz w:val="18"/>
          <w:szCs w:val="18"/>
        </w:rPr>
      </w:pPr>
      <w:proofErr w:type="spellStart"/>
      <w:r w:rsidRPr="008367BC">
        <w:rPr>
          <w:rFonts w:ascii="Arial" w:hAnsi="Arial" w:cs="Arial"/>
          <w:sz w:val="18"/>
          <w:szCs w:val="18"/>
        </w:rPr>
        <w:t>Du</w:t>
      </w:r>
      <w:proofErr w:type="spellEnd"/>
      <w:r w:rsidRPr="008367BC">
        <w:rPr>
          <w:rFonts w:ascii="Arial" w:hAnsi="Arial" w:cs="Arial"/>
          <w:sz w:val="18"/>
          <w:szCs w:val="18"/>
        </w:rPr>
        <w:t xml:space="preserve"> </w:t>
      </w:r>
      <w:r w:rsidRPr="008367BC">
        <w:rPr>
          <w:rFonts w:ascii="Arial" w:hAnsi="Arial" w:cs="Arial"/>
          <w:sz w:val="18"/>
          <w:szCs w:val="18"/>
        </w:rPr>
        <w:tab/>
        <w:t>odchylenie standardowe standaryzowanych wartości pojedynczych pomiarów</w:t>
      </w:r>
    </w:p>
    <w:p w14:paraId="509D73A9" w14:textId="77777777" w:rsidR="007B538E" w:rsidRPr="008367BC" w:rsidRDefault="007B538E" w:rsidP="007B538E">
      <w:pPr>
        <w:tabs>
          <w:tab w:val="left" w:pos="709"/>
        </w:tabs>
        <w:spacing w:after="120"/>
        <w:ind w:left="851" w:hanging="851"/>
        <w:rPr>
          <w:rFonts w:ascii="Arial" w:hAnsi="Arial" w:cs="Arial"/>
          <w:sz w:val="18"/>
          <w:szCs w:val="18"/>
        </w:rPr>
      </w:pPr>
      <w:r w:rsidRPr="008367BC">
        <w:rPr>
          <w:rFonts w:ascii="Arial" w:hAnsi="Arial" w:cs="Arial"/>
          <w:sz w:val="18"/>
          <w:szCs w:val="18"/>
        </w:rPr>
        <w:tab/>
        <w:t>ugięć na odcinku miarodajnym.</w:t>
      </w:r>
    </w:p>
    <w:p w14:paraId="436B08FD" w14:textId="77777777" w:rsidR="007B538E" w:rsidRPr="008367BC" w:rsidRDefault="007B538E" w:rsidP="007B538E">
      <w:pPr>
        <w:spacing w:after="120"/>
        <w:jc w:val="both"/>
        <w:rPr>
          <w:rFonts w:ascii="Arial" w:hAnsi="Arial" w:cs="Arial"/>
          <w:sz w:val="18"/>
          <w:szCs w:val="18"/>
        </w:rPr>
      </w:pPr>
    </w:p>
    <w:p w14:paraId="7C44AFA4" w14:textId="77777777" w:rsidR="007B538E" w:rsidRPr="008367BC" w:rsidRDefault="007B538E" w:rsidP="007B538E">
      <w:pPr>
        <w:spacing w:after="120"/>
        <w:jc w:val="both"/>
        <w:rPr>
          <w:rFonts w:ascii="Arial" w:hAnsi="Arial" w:cs="Arial"/>
          <w:sz w:val="18"/>
          <w:szCs w:val="18"/>
        </w:rPr>
      </w:pPr>
      <w:r w:rsidRPr="008367BC">
        <w:rPr>
          <w:rFonts w:ascii="Arial" w:hAnsi="Arial" w:cs="Arial"/>
          <w:sz w:val="18"/>
          <w:szCs w:val="18"/>
        </w:rPr>
        <w:t xml:space="preserve">Wynik obliczeń zaokrągla się zgodnie z ogólnymi zasadami. </w:t>
      </w:r>
    </w:p>
    <w:p w14:paraId="72132FB2" w14:textId="77777777" w:rsidR="007B538E" w:rsidRPr="008367BC" w:rsidRDefault="007B538E" w:rsidP="007B538E">
      <w:pPr>
        <w:numPr>
          <w:ilvl w:val="0"/>
          <w:numId w:val="3"/>
        </w:numPr>
        <w:spacing w:after="120"/>
        <w:ind w:left="284" w:hanging="284"/>
        <w:jc w:val="both"/>
        <w:rPr>
          <w:rFonts w:ascii="Arial" w:hAnsi="Arial" w:cs="Arial"/>
          <w:sz w:val="18"/>
          <w:szCs w:val="18"/>
        </w:rPr>
      </w:pPr>
      <w:r w:rsidRPr="008367BC">
        <w:rPr>
          <w:rFonts w:ascii="Arial" w:hAnsi="Arial" w:cs="Arial"/>
          <w:sz w:val="18"/>
          <w:szCs w:val="18"/>
        </w:rPr>
        <w:t xml:space="preserve">standaryzowana wartość pojedynczego pomiaru ugięcia - jest to ugięcie maksymalne sprowadzone do standardowych warunków nacisku 50 </w:t>
      </w:r>
      <w:proofErr w:type="spellStart"/>
      <w:r w:rsidRPr="008367BC">
        <w:rPr>
          <w:rFonts w:ascii="Arial" w:hAnsi="Arial" w:cs="Arial"/>
          <w:sz w:val="18"/>
          <w:szCs w:val="18"/>
        </w:rPr>
        <w:t>kN</w:t>
      </w:r>
      <w:proofErr w:type="spellEnd"/>
      <w:r w:rsidRPr="008367BC">
        <w:rPr>
          <w:rFonts w:ascii="Arial" w:hAnsi="Arial" w:cs="Arial"/>
          <w:sz w:val="18"/>
          <w:szCs w:val="18"/>
        </w:rPr>
        <w:t xml:space="preserve"> na kołowej powierzchni </w:t>
      </w:r>
      <w:r w:rsidRPr="008367BC">
        <w:rPr>
          <w:rFonts w:ascii="Arial" w:hAnsi="Arial" w:cs="Arial"/>
          <w:sz w:val="18"/>
          <w:szCs w:val="18"/>
        </w:rPr>
        <w:br/>
        <w:t>o średnicy 300 mm przy temperaturze warstw asfaltowych 20°C uwzględniające sezon i rodzaj materiału podbudowy.</w:t>
      </w:r>
    </w:p>
    <w:p w14:paraId="6519A916" w14:textId="77777777" w:rsidR="007B538E" w:rsidRPr="008367BC" w:rsidRDefault="007B538E" w:rsidP="007B538E">
      <w:pPr>
        <w:spacing w:after="120"/>
        <w:jc w:val="center"/>
        <w:rPr>
          <w:rFonts w:ascii="Arial" w:hAnsi="Arial" w:cs="Arial"/>
          <w:sz w:val="18"/>
          <w:szCs w:val="18"/>
        </w:rPr>
      </w:pPr>
      <w:proofErr w:type="spellStart"/>
      <w:r w:rsidRPr="008367BC">
        <w:rPr>
          <w:rFonts w:ascii="Arial" w:hAnsi="Arial" w:cs="Arial"/>
          <w:sz w:val="18"/>
          <w:szCs w:val="18"/>
        </w:rPr>
        <w:t>us</w:t>
      </w:r>
      <w:proofErr w:type="spellEnd"/>
      <w:r w:rsidRPr="008367BC">
        <w:rPr>
          <w:rFonts w:ascii="Arial" w:hAnsi="Arial" w:cs="Arial"/>
          <w:sz w:val="18"/>
          <w:szCs w:val="18"/>
        </w:rPr>
        <w:t xml:space="preserve"> = D(50/F)·</w:t>
      </w:r>
      <w:proofErr w:type="spellStart"/>
      <w:r w:rsidRPr="008367BC">
        <w:rPr>
          <w:rFonts w:ascii="Arial" w:hAnsi="Arial" w:cs="Arial"/>
          <w:sz w:val="18"/>
          <w:szCs w:val="18"/>
        </w:rPr>
        <w:t>f</w:t>
      </w:r>
      <w:r w:rsidRPr="008367BC">
        <w:rPr>
          <w:rFonts w:ascii="Arial" w:hAnsi="Arial" w:cs="Arial"/>
          <w:sz w:val="18"/>
          <w:szCs w:val="18"/>
          <w:vertAlign w:val="subscript"/>
        </w:rPr>
        <w:t>T</w:t>
      </w:r>
      <w:r w:rsidRPr="008367BC">
        <w:rPr>
          <w:rFonts w:ascii="Arial" w:hAnsi="Arial" w:cs="Arial"/>
          <w:sz w:val="18"/>
          <w:szCs w:val="18"/>
        </w:rPr>
        <w:t>·f</w:t>
      </w:r>
      <w:r w:rsidRPr="008367BC">
        <w:rPr>
          <w:rFonts w:ascii="Arial" w:hAnsi="Arial" w:cs="Arial"/>
          <w:sz w:val="18"/>
          <w:szCs w:val="18"/>
          <w:vertAlign w:val="subscript"/>
        </w:rPr>
        <w:t>S</w:t>
      </w:r>
      <w:r w:rsidRPr="008367BC">
        <w:rPr>
          <w:rFonts w:ascii="Arial" w:hAnsi="Arial" w:cs="Arial"/>
          <w:sz w:val="18"/>
          <w:szCs w:val="18"/>
        </w:rPr>
        <w:t>·f</w:t>
      </w:r>
      <w:r w:rsidRPr="008367BC">
        <w:rPr>
          <w:rFonts w:ascii="Arial" w:hAnsi="Arial" w:cs="Arial"/>
          <w:sz w:val="18"/>
          <w:szCs w:val="18"/>
          <w:vertAlign w:val="subscript"/>
        </w:rPr>
        <w:t>P</w:t>
      </w:r>
      <w:proofErr w:type="spellEnd"/>
    </w:p>
    <w:p w14:paraId="2478A0B6" w14:textId="77777777" w:rsidR="007B538E" w:rsidRPr="008367BC" w:rsidRDefault="007B538E" w:rsidP="007B538E">
      <w:pPr>
        <w:spacing w:after="120"/>
        <w:ind w:left="284"/>
        <w:jc w:val="both"/>
        <w:rPr>
          <w:rFonts w:ascii="Arial" w:hAnsi="Arial" w:cs="Arial"/>
          <w:sz w:val="18"/>
          <w:szCs w:val="18"/>
        </w:rPr>
      </w:pPr>
      <w:r w:rsidRPr="008367BC">
        <w:rPr>
          <w:rFonts w:ascii="Arial" w:hAnsi="Arial" w:cs="Arial"/>
          <w:sz w:val="18"/>
          <w:szCs w:val="18"/>
        </w:rPr>
        <w:t>gdzie:</w:t>
      </w:r>
    </w:p>
    <w:p w14:paraId="42BA394A" w14:textId="77777777" w:rsidR="007B538E" w:rsidRPr="008367BC" w:rsidRDefault="007B538E" w:rsidP="007B538E">
      <w:pPr>
        <w:tabs>
          <w:tab w:val="left" w:pos="993"/>
        </w:tabs>
        <w:spacing w:after="120"/>
        <w:ind w:left="284"/>
        <w:jc w:val="both"/>
        <w:rPr>
          <w:rFonts w:ascii="Arial" w:hAnsi="Arial" w:cs="Arial"/>
          <w:sz w:val="18"/>
          <w:szCs w:val="18"/>
        </w:rPr>
      </w:pPr>
      <w:proofErr w:type="spellStart"/>
      <w:r w:rsidRPr="008367BC">
        <w:rPr>
          <w:rFonts w:ascii="Arial" w:hAnsi="Arial" w:cs="Arial"/>
          <w:sz w:val="18"/>
          <w:szCs w:val="18"/>
        </w:rPr>
        <w:t>us</w:t>
      </w:r>
      <w:proofErr w:type="spellEnd"/>
      <w:r w:rsidRPr="008367BC">
        <w:rPr>
          <w:rFonts w:ascii="Arial" w:hAnsi="Arial" w:cs="Arial"/>
          <w:sz w:val="18"/>
          <w:szCs w:val="18"/>
        </w:rPr>
        <w:tab/>
        <w:t>ugięcie standaryzowane [</w:t>
      </w:r>
      <w:proofErr w:type="spellStart"/>
      <w:r w:rsidRPr="008367BC">
        <w:rPr>
          <w:rFonts w:ascii="Arial" w:hAnsi="Arial" w:cs="Arial"/>
          <w:sz w:val="18"/>
          <w:szCs w:val="18"/>
        </w:rPr>
        <w:t>μm</w:t>
      </w:r>
      <w:proofErr w:type="spellEnd"/>
      <w:r w:rsidRPr="008367BC">
        <w:rPr>
          <w:rFonts w:ascii="Arial" w:hAnsi="Arial" w:cs="Arial"/>
          <w:sz w:val="18"/>
          <w:szCs w:val="18"/>
        </w:rPr>
        <w:t xml:space="preserve">] </w:t>
      </w:r>
    </w:p>
    <w:p w14:paraId="7D34972F" w14:textId="77777777" w:rsidR="007B538E" w:rsidRPr="008367BC" w:rsidRDefault="007B538E" w:rsidP="007B538E">
      <w:pPr>
        <w:tabs>
          <w:tab w:val="left" w:pos="993"/>
        </w:tabs>
        <w:spacing w:after="120"/>
        <w:ind w:left="284"/>
        <w:jc w:val="both"/>
        <w:rPr>
          <w:rFonts w:ascii="Arial" w:hAnsi="Arial" w:cs="Arial"/>
          <w:sz w:val="18"/>
          <w:szCs w:val="18"/>
        </w:rPr>
      </w:pPr>
      <w:r w:rsidRPr="008367BC">
        <w:rPr>
          <w:rFonts w:ascii="Arial" w:hAnsi="Arial" w:cs="Arial"/>
          <w:sz w:val="18"/>
          <w:szCs w:val="18"/>
        </w:rPr>
        <w:t>D</w:t>
      </w:r>
      <w:r w:rsidRPr="008367BC">
        <w:rPr>
          <w:rFonts w:ascii="Arial" w:hAnsi="Arial" w:cs="Arial"/>
          <w:sz w:val="18"/>
          <w:szCs w:val="18"/>
        </w:rPr>
        <w:tab/>
        <w:t>maksymalne ugięcie zarejestrowane [</w:t>
      </w:r>
      <w:proofErr w:type="spellStart"/>
      <w:r w:rsidRPr="008367BC">
        <w:rPr>
          <w:rFonts w:ascii="Arial" w:hAnsi="Arial" w:cs="Arial"/>
          <w:sz w:val="18"/>
          <w:szCs w:val="18"/>
        </w:rPr>
        <w:t>μm</w:t>
      </w:r>
      <w:proofErr w:type="spellEnd"/>
      <w:r w:rsidRPr="008367BC">
        <w:rPr>
          <w:rFonts w:ascii="Arial" w:hAnsi="Arial" w:cs="Arial"/>
          <w:sz w:val="18"/>
          <w:szCs w:val="18"/>
        </w:rPr>
        <w:t xml:space="preserve">] </w:t>
      </w:r>
    </w:p>
    <w:p w14:paraId="6598D4F7" w14:textId="77777777" w:rsidR="007B538E" w:rsidRPr="008367BC" w:rsidRDefault="007B538E" w:rsidP="007B538E">
      <w:pPr>
        <w:tabs>
          <w:tab w:val="left" w:pos="993"/>
        </w:tabs>
        <w:spacing w:after="120"/>
        <w:ind w:left="284"/>
        <w:jc w:val="both"/>
        <w:rPr>
          <w:rFonts w:ascii="Arial" w:hAnsi="Arial" w:cs="Arial"/>
          <w:sz w:val="18"/>
          <w:szCs w:val="18"/>
        </w:rPr>
      </w:pPr>
      <w:r w:rsidRPr="008367BC">
        <w:rPr>
          <w:rFonts w:ascii="Arial" w:hAnsi="Arial" w:cs="Arial"/>
          <w:sz w:val="18"/>
          <w:szCs w:val="18"/>
        </w:rPr>
        <w:t>F</w:t>
      </w:r>
      <w:r w:rsidRPr="008367BC">
        <w:rPr>
          <w:rFonts w:ascii="Arial" w:hAnsi="Arial" w:cs="Arial"/>
          <w:sz w:val="18"/>
          <w:szCs w:val="18"/>
        </w:rPr>
        <w:tab/>
        <w:t>obciążenie zarejestrowane [</w:t>
      </w:r>
      <w:proofErr w:type="spellStart"/>
      <w:r w:rsidRPr="008367BC">
        <w:rPr>
          <w:rFonts w:ascii="Arial" w:hAnsi="Arial" w:cs="Arial"/>
          <w:sz w:val="18"/>
          <w:szCs w:val="18"/>
        </w:rPr>
        <w:t>kN</w:t>
      </w:r>
      <w:proofErr w:type="spellEnd"/>
      <w:r w:rsidRPr="008367BC">
        <w:rPr>
          <w:rFonts w:ascii="Arial" w:hAnsi="Arial" w:cs="Arial"/>
          <w:sz w:val="18"/>
          <w:szCs w:val="18"/>
        </w:rPr>
        <w:t xml:space="preserve">] </w:t>
      </w:r>
    </w:p>
    <w:p w14:paraId="332F0157" w14:textId="77777777" w:rsidR="007B538E" w:rsidRPr="008367BC" w:rsidRDefault="007B538E" w:rsidP="007B538E">
      <w:pPr>
        <w:tabs>
          <w:tab w:val="left" w:pos="993"/>
        </w:tabs>
        <w:spacing w:after="120"/>
        <w:ind w:left="284"/>
        <w:jc w:val="both"/>
        <w:rPr>
          <w:rFonts w:ascii="Arial" w:hAnsi="Arial" w:cs="Arial"/>
          <w:sz w:val="18"/>
          <w:szCs w:val="18"/>
        </w:rPr>
      </w:pPr>
      <w:proofErr w:type="spellStart"/>
      <w:r w:rsidRPr="008367BC">
        <w:rPr>
          <w:rFonts w:ascii="Arial" w:hAnsi="Arial" w:cs="Arial"/>
          <w:sz w:val="18"/>
          <w:szCs w:val="18"/>
        </w:rPr>
        <w:t>f</w:t>
      </w:r>
      <w:r w:rsidRPr="008367BC">
        <w:rPr>
          <w:rFonts w:ascii="Arial" w:hAnsi="Arial" w:cs="Arial"/>
          <w:sz w:val="18"/>
          <w:szCs w:val="18"/>
          <w:vertAlign w:val="subscript"/>
        </w:rPr>
        <w:t>T</w:t>
      </w:r>
      <w:proofErr w:type="spellEnd"/>
      <w:r w:rsidRPr="008367BC">
        <w:rPr>
          <w:rFonts w:ascii="Arial" w:hAnsi="Arial" w:cs="Arial"/>
          <w:sz w:val="18"/>
          <w:szCs w:val="18"/>
        </w:rPr>
        <w:tab/>
        <w:t xml:space="preserve">współczynnik temperaturowy </w:t>
      </w:r>
    </w:p>
    <w:p w14:paraId="2D5338E1" w14:textId="77777777" w:rsidR="007B538E" w:rsidRPr="008367BC" w:rsidRDefault="007B538E" w:rsidP="007B538E">
      <w:pPr>
        <w:tabs>
          <w:tab w:val="left" w:pos="993"/>
        </w:tabs>
        <w:spacing w:after="120"/>
        <w:ind w:left="284"/>
        <w:jc w:val="both"/>
        <w:rPr>
          <w:rFonts w:ascii="Arial" w:hAnsi="Arial" w:cs="Arial"/>
          <w:sz w:val="18"/>
          <w:szCs w:val="18"/>
        </w:rPr>
      </w:pPr>
      <w:proofErr w:type="spellStart"/>
      <w:r w:rsidRPr="008367BC">
        <w:rPr>
          <w:rFonts w:ascii="Arial" w:hAnsi="Arial" w:cs="Arial"/>
          <w:sz w:val="18"/>
          <w:szCs w:val="18"/>
        </w:rPr>
        <w:t>f</w:t>
      </w:r>
      <w:r w:rsidRPr="008367BC">
        <w:rPr>
          <w:rFonts w:ascii="Arial" w:hAnsi="Arial" w:cs="Arial"/>
          <w:sz w:val="18"/>
          <w:szCs w:val="18"/>
          <w:vertAlign w:val="subscript"/>
        </w:rPr>
        <w:t>S</w:t>
      </w:r>
      <w:proofErr w:type="spellEnd"/>
      <w:r w:rsidRPr="008367BC">
        <w:rPr>
          <w:rFonts w:ascii="Arial" w:hAnsi="Arial" w:cs="Arial"/>
          <w:sz w:val="18"/>
          <w:szCs w:val="18"/>
        </w:rPr>
        <w:tab/>
        <w:t xml:space="preserve">współczynnik sezonowości </w:t>
      </w:r>
    </w:p>
    <w:p w14:paraId="6CB9D425" w14:textId="77777777" w:rsidR="007B538E" w:rsidRPr="008367BC" w:rsidRDefault="007B538E" w:rsidP="007B538E">
      <w:pPr>
        <w:tabs>
          <w:tab w:val="left" w:pos="993"/>
        </w:tabs>
        <w:spacing w:after="120"/>
        <w:ind w:left="284"/>
        <w:jc w:val="both"/>
        <w:rPr>
          <w:rFonts w:ascii="Arial" w:hAnsi="Arial" w:cs="Arial"/>
          <w:sz w:val="18"/>
          <w:szCs w:val="18"/>
        </w:rPr>
      </w:pPr>
      <w:proofErr w:type="spellStart"/>
      <w:r w:rsidRPr="008367BC">
        <w:rPr>
          <w:rFonts w:ascii="Arial" w:hAnsi="Arial" w:cs="Arial"/>
          <w:sz w:val="18"/>
          <w:szCs w:val="18"/>
        </w:rPr>
        <w:t>f</w:t>
      </w:r>
      <w:r w:rsidRPr="008367BC">
        <w:rPr>
          <w:rFonts w:ascii="Arial" w:hAnsi="Arial" w:cs="Arial"/>
          <w:sz w:val="18"/>
          <w:szCs w:val="18"/>
          <w:vertAlign w:val="subscript"/>
        </w:rPr>
        <w:t>P</w:t>
      </w:r>
      <w:proofErr w:type="spellEnd"/>
      <w:r w:rsidRPr="008367BC">
        <w:rPr>
          <w:rFonts w:ascii="Arial" w:hAnsi="Arial" w:cs="Arial"/>
          <w:sz w:val="18"/>
          <w:szCs w:val="18"/>
        </w:rPr>
        <w:tab/>
        <w:t xml:space="preserve">współczynnik podbudowy </w:t>
      </w:r>
    </w:p>
    <w:p w14:paraId="300C896D" w14:textId="77777777" w:rsidR="007B538E" w:rsidRPr="008367BC" w:rsidRDefault="007B538E" w:rsidP="007B538E">
      <w:pPr>
        <w:numPr>
          <w:ilvl w:val="0"/>
          <w:numId w:val="3"/>
        </w:numPr>
        <w:spacing w:after="120"/>
        <w:ind w:left="284" w:hanging="284"/>
        <w:jc w:val="both"/>
        <w:rPr>
          <w:rFonts w:ascii="Arial" w:hAnsi="Arial" w:cs="Arial"/>
          <w:sz w:val="18"/>
          <w:szCs w:val="18"/>
        </w:rPr>
      </w:pPr>
      <w:r w:rsidRPr="008367BC">
        <w:rPr>
          <w:rFonts w:ascii="Arial" w:hAnsi="Arial" w:cs="Arial"/>
          <w:sz w:val="18"/>
          <w:szCs w:val="18"/>
        </w:rPr>
        <w:t xml:space="preserve">Korekta ugięć ze względu na temperaturę warstw asfaltowych – współczynnik temperaturowy </w:t>
      </w:r>
      <w:proofErr w:type="spellStart"/>
      <w:r w:rsidRPr="008367BC">
        <w:rPr>
          <w:rFonts w:ascii="Arial" w:hAnsi="Arial" w:cs="Arial"/>
          <w:sz w:val="18"/>
          <w:szCs w:val="18"/>
        </w:rPr>
        <w:t>f</w:t>
      </w:r>
      <w:r w:rsidRPr="008367BC">
        <w:rPr>
          <w:rFonts w:ascii="Arial" w:hAnsi="Arial" w:cs="Arial"/>
          <w:sz w:val="18"/>
          <w:szCs w:val="18"/>
          <w:vertAlign w:val="subscript"/>
        </w:rPr>
        <w:t>T</w:t>
      </w:r>
      <w:proofErr w:type="spellEnd"/>
      <w:r w:rsidRPr="008367BC">
        <w:rPr>
          <w:rFonts w:ascii="Arial" w:hAnsi="Arial" w:cs="Arial"/>
          <w:sz w:val="18"/>
          <w:szCs w:val="18"/>
        </w:rPr>
        <w:t xml:space="preserve"> koryguje wyniki pomiarów ugięć sprężystych wykonanych w różnej temperaturze warstw asfaltowych i sprowadza je do wartości </w:t>
      </w:r>
      <w:r w:rsidRPr="008367BC">
        <w:rPr>
          <w:rFonts w:ascii="Arial" w:hAnsi="Arial" w:cs="Arial"/>
          <w:sz w:val="18"/>
          <w:szCs w:val="18"/>
        </w:rPr>
        <w:lastRenderedPageBreak/>
        <w:t xml:space="preserve">odpowiadającej temperaturze miarodajnej, czyli średniej temperaturze tych warstw w okresie wiosennym. Współczynnik temperaturowy </w:t>
      </w:r>
      <w:proofErr w:type="spellStart"/>
      <w:r w:rsidRPr="008367BC">
        <w:rPr>
          <w:rFonts w:ascii="Arial" w:hAnsi="Arial" w:cs="Arial"/>
          <w:sz w:val="18"/>
          <w:szCs w:val="18"/>
        </w:rPr>
        <w:t>f</w:t>
      </w:r>
      <w:r w:rsidRPr="008367BC">
        <w:rPr>
          <w:rFonts w:ascii="Arial" w:hAnsi="Arial" w:cs="Arial"/>
          <w:sz w:val="18"/>
          <w:szCs w:val="18"/>
          <w:vertAlign w:val="subscript"/>
        </w:rPr>
        <w:t>T</w:t>
      </w:r>
      <w:proofErr w:type="spellEnd"/>
      <w:r w:rsidRPr="008367BC">
        <w:rPr>
          <w:rFonts w:ascii="Arial" w:hAnsi="Arial" w:cs="Arial"/>
          <w:sz w:val="18"/>
          <w:szCs w:val="18"/>
        </w:rPr>
        <w:t xml:space="preserve"> określa się ze wzoru: </w:t>
      </w:r>
    </w:p>
    <w:p w14:paraId="6C00E958" w14:textId="77777777" w:rsidR="007B538E" w:rsidRPr="008367BC" w:rsidRDefault="007B538E" w:rsidP="007B538E">
      <w:pPr>
        <w:spacing w:after="120"/>
        <w:jc w:val="center"/>
        <w:rPr>
          <w:rFonts w:ascii="Arial" w:hAnsi="Arial" w:cs="Arial"/>
          <w:sz w:val="18"/>
          <w:szCs w:val="18"/>
        </w:rPr>
      </w:pPr>
      <w:proofErr w:type="spellStart"/>
      <w:r w:rsidRPr="008367BC">
        <w:rPr>
          <w:rFonts w:ascii="Arial" w:hAnsi="Arial" w:cs="Arial"/>
          <w:sz w:val="18"/>
          <w:szCs w:val="18"/>
        </w:rPr>
        <w:t>f</w:t>
      </w:r>
      <w:r w:rsidRPr="008367BC">
        <w:rPr>
          <w:rFonts w:ascii="Arial" w:hAnsi="Arial" w:cs="Arial"/>
          <w:sz w:val="18"/>
          <w:szCs w:val="18"/>
          <w:vertAlign w:val="subscript"/>
        </w:rPr>
        <w:t>T</w:t>
      </w:r>
      <w:proofErr w:type="spellEnd"/>
      <w:r w:rsidRPr="008367BC">
        <w:rPr>
          <w:rFonts w:ascii="Arial" w:hAnsi="Arial" w:cs="Arial"/>
          <w:sz w:val="18"/>
          <w:szCs w:val="18"/>
        </w:rPr>
        <w:t xml:space="preserve"> = 1 + 0,02(20-T)</w:t>
      </w:r>
    </w:p>
    <w:p w14:paraId="7A04D17F" w14:textId="77777777" w:rsidR="007B538E" w:rsidRPr="008367BC" w:rsidRDefault="007B538E" w:rsidP="007B538E">
      <w:pPr>
        <w:spacing w:after="120"/>
        <w:ind w:left="284"/>
        <w:jc w:val="both"/>
        <w:rPr>
          <w:rFonts w:ascii="Arial" w:hAnsi="Arial" w:cs="Arial"/>
          <w:sz w:val="18"/>
          <w:szCs w:val="18"/>
        </w:rPr>
      </w:pPr>
      <w:r w:rsidRPr="008367BC">
        <w:rPr>
          <w:rFonts w:ascii="Arial" w:hAnsi="Arial" w:cs="Arial"/>
          <w:sz w:val="18"/>
          <w:szCs w:val="18"/>
        </w:rPr>
        <w:t xml:space="preserve">gdzie: </w:t>
      </w:r>
    </w:p>
    <w:p w14:paraId="25E5F125" w14:textId="77777777" w:rsidR="007B538E" w:rsidRPr="008367BC" w:rsidRDefault="007B538E" w:rsidP="007B538E">
      <w:pPr>
        <w:tabs>
          <w:tab w:val="left" w:pos="993"/>
        </w:tabs>
        <w:spacing w:after="120"/>
        <w:ind w:left="284"/>
        <w:jc w:val="both"/>
        <w:rPr>
          <w:rFonts w:ascii="Arial" w:hAnsi="Arial" w:cs="Arial"/>
          <w:sz w:val="18"/>
          <w:szCs w:val="18"/>
        </w:rPr>
      </w:pPr>
      <w:r w:rsidRPr="008367BC">
        <w:rPr>
          <w:rFonts w:ascii="Arial" w:hAnsi="Arial" w:cs="Arial"/>
          <w:sz w:val="18"/>
          <w:szCs w:val="18"/>
        </w:rPr>
        <w:t>T</w:t>
      </w:r>
      <w:r w:rsidRPr="008367BC">
        <w:rPr>
          <w:rFonts w:ascii="Arial" w:hAnsi="Arial" w:cs="Arial"/>
          <w:sz w:val="18"/>
          <w:szCs w:val="18"/>
        </w:rPr>
        <w:tab/>
        <w:t xml:space="preserve">temperatura warstw asfaltowych podczas badania FWD [°C] </w:t>
      </w:r>
    </w:p>
    <w:p w14:paraId="0160E399" w14:textId="77777777" w:rsidR="007B538E" w:rsidRPr="008367BC" w:rsidRDefault="007B538E" w:rsidP="007B538E">
      <w:pPr>
        <w:spacing w:after="120"/>
        <w:jc w:val="both"/>
        <w:rPr>
          <w:rFonts w:ascii="Arial" w:hAnsi="Arial" w:cs="Arial"/>
          <w:sz w:val="18"/>
          <w:szCs w:val="18"/>
        </w:rPr>
      </w:pPr>
    </w:p>
    <w:p w14:paraId="7D081F2C" w14:textId="77777777" w:rsidR="007B538E" w:rsidRPr="008367BC" w:rsidRDefault="007B538E" w:rsidP="007B538E">
      <w:pPr>
        <w:numPr>
          <w:ilvl w:val="0"/>
          <w:numId w:val="3"/>
        </w:numPr>
        <w:spacing w:after="120"/>
        <w:ind w:left="284" w:hanging="284"/>
        <w:jc w:val="both"/>
        <w:rPr>
          <w:rFonts w:ascii="Arial" w:hAnsi="Arial" w:cs="Arial"/>
          <w:sz w:val="18"/>
          <w:szCs w:val="18"/>
        </w:rPr>
      </w:pPr>
      <w:r w:rsidRPr="008367BC">
        <w:rPr>
          <w:rFonts w:ascii="Arial" w:hAnsi="Arial" w:cs="Arial"/>
          <w:sz w:val="18"/>
          <w:szCs w:val="18"/>
        </w:rPr>
        <w:t xml:space="preserve">Korekta ugięć ze względu na okres wykonywania pomiarów ugięć – współczynnik sezonowości </w:t>
      </w:r>
      <w:proofErr w:type="spellStart"/>
      <w:r w:rsidRPr="008367BC">
        <w:rPr>
          <w:rFonts w:ascii="Arial" w:hAnsi="Arial" w:cs="Arial"/>
          <w:sz w:val="18"/>
          <w:szCs w:val="18"/>
        </w:rPr>
        <w:t>f</w:t>
      </w:r>
      <w:r w:rsidRPr="008367BC">
        <w:rPr>
          <w:rFonts w:ascii="Arial" w:hAnsi="Arial" w:cs="Arial"/>
          <w:sz w:val="18"/>
          <w:szCs w:val="18"/>
          <w:vertAlign w:val="subscript"/>
        </w:rPr>
        <w:t>S</w:t>
      </w:r>
      <w:proofErr w:type="spellEnd"/>
      <w:r w:rsidRPr="008367BC">
        <w:rPr>
          <w:rFonts w:ascii="Arial" w:hAnsi="Arial" w:cs="Arial"/>
          <w:sz w:val="18"/>
          <w:szCs w:val="18"/>
        </w:rPr>
        <w:t xml:space="preserve">, zależny jest od okresu przeprowadzania pomiarów. Normalizacja polega na sprowadzeniu wartości ugięć pomierzonych w różnych okresach w ciągu roku do standardowych warunków wykonywania pomiarów w jednym okresie roku, wyznaczonym doświadczalnie dla danej strefy klimatycznej. </w:t>
      </w:r>
    </w:p>
    <w:p w14:paraId="3BA0DCD6" w14:textId="77777777" w:rsidR="007B538E" w:rsidRPr="008367BC" w:rsidRDefault="007B538E" w:rsidP="007B538E">
      <w:pPr>
        <w:spacing w:after="120"/>
        <w:ind w:left="284"/>
        <w:jc w:val="both"/>
        <w:rPr>
          <w:rFonts w:ascii="Arial" w:hAnsi="Arial" w:cs="Arial"/>
          <w:sz w:val="18"/>
          <w:szCs w:val="18"/>
        </w:rPr>
      </w:pPr>
      <w:r w:rsidRPr="008367BC">
        <w:rPr>
          <w:rFonts w:ascii="Arial" w:hAnsi="Arial" w:cs="Arial"/>
          <w:sz w:val="18"/>
          <w:szCs w:val="18"/>
        </w:rPr>
        <w:t xml:space="preserve">Wartości współczynnika </w:t>
      </w:r>
      <w:proofErr w:type="spellStart"/>
      <w:r w:rsidRPr="008367BC">
        <w:rPr>
          <w:rFonts w:ascii="Arial" w:hAnsi="Arial" w:cs="Arial"/>
          <w:sz w:val="18"/>
          <w:szCs w:val="18"/>
        </w:rPr>
        <w:t>f</w:t>
      </w:r>
      <w:r w:rsidRPr="008367BC">
        <w:rPr>
          <w:rFonts w:ascii="Arial" w:hAnsi="Arial" w:cs="Arial"/>
          <w:sz w:val="18"/>
          <w:szCs w:val="18"/>
          <w:vertAlign w:val="subscript"/>
        </w:rPr>
        <w:t>S</w:t>
      </w:r>
      <w:proofErr w:type="spellEnd"/>
      <w:r w:rsidRPr="008367BC">
        <w:rPr>
          <w:rFonts w:ascii="Arial" w:hAnsi="Arial" w:cs="Arial"/>
          <w:sz w:val="18"/>
          <w:szCs w:val="18"/>
        </w:rPr>
        <w:t xml:space="preserve"> zamieszczono w tabeli 7.</w:t>
      </w:r>
    </w:p>
    <w:p w14:paraId="2544DAE1" w14:textId="77777777" w:rsidR="007B538E" w:rsidRPr="008367BC" w:rsidRDefault="007B538E" w:rsidP="007B538E">
      <w:pPr>
        <w:tabs>
          <w:tab w:val="left" w:pos="993"/>
        </w:tabs>
        <w:spacing w:after="120"/>
        <w:ind w:left="993" w:hanging="993"/>
        <w:rPr>
          <w:rFonts w:ascii="Arial" w:hAnsi="Arial" w:cs="Arial"/>
          <w:sz w:val="18"/>
          <w:szCs w:val="18"/>
        </w:rPr>
      </w:pPr>
    </w:p>
    <w:p w14:paraId="5D8DBB1C" w14:textId="77777777" w:rsidR="007B538E" w:rsidRPr="008367BC" w:rsidRDefault="007B538E" w:rsidP="007B538E">
      <w:pPr>
        <w:tabs>
          <w:tab w:val="left" w:pos="1134"/>
        </w:tabs>
        <w:spacing w:after="120"/>
        <w:ind w:left="1134" w:hanging="1134"/>
        <w:rPr>
          <w:rFonts w:ascii="Arial" w:hAnsi="Arial" w:cs="Arial"/>
          <w:sz w:val="18"/>
          <w:szCs w:val="18"/>
        </w:rPr>
      </w:pPr>
      <w:r w:rsidRPr="008367BC">
        <w:rPr>
          <w:rFonts w:ascii="Arial" w:hAnsi="Arial" w:cs="Arial"/>
          <w:sz w:val="18"/>
          <w:szCs w:val="18"/>
        </w:rPr>
        <w:t>Tabela 7.</w:t>
      </w:r>
      <w:r w:rsidRPr="008367BC">
        <w:rPr>
          <w:rFonts w:ascii="Arial" w:hAnsi="Arial" w:cs="Arial"/>
          <w:sz w:val="18"/>
          <w:szCs w:val="18"/>
        </w:rPr>
        <w:tab/>
        <w:t xml:space="preserve">Wartości współczynnika sezonowości w zależności od okresu wykonywania pomiarów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985"/>
      </w:tblGrid>
      <w:tr w:rsidR="007B538E" w:rsidRPr="008367BC" w14:paraId="190A4695" w14:textId="77777777" w:rsidTr="00AA74F6">
        <w:trPr>
          <w:jc w:val="center"/>
        </w:trPr>
        <w:tc>
          <w:tcPr>
            <w:tcW w:w="1843" w:type="dxa"/>
            <w:shd w:val="clear" w:color="auto" w:fill="auto"/>
            <w:vAlign w:val="center"/>
          </w:tcPr>
          <w:p w14:paraId="2150050E" w14:textId="77777777" w:rsidR="007B538E" w:rsidRPr="008367BC" w:rsidRDefault="007B538E" w:rsidP="00AA74F6">
            <w:pPr>
              <w:spacing w:after="120"/>
              <w:jc w:val="center"/>
              <w:rPr>
                <w:rFonts w:ascii="Arial" w:hAnsi="Arial" w:cs="Arial"/>
                <w:sz w:val="18"/>
                <w:szCs w:val="18"/>
              </w:rPr>
            </w:pPr>
            <w:r w:rsidRPr="008367BC">
              <w:rPr>
                <w:rFonts w:ascii="Arial" w:hAnsi="Arial" w:cs="Arial"/>
                <w:sz w:val="18"/>
                <w:szCs w:val="18"/>
              </w:rPr>
              <w:t>Miesiąc wykonywania pomiarów FWD</w:t>
            </w:r>
          </w:p>
        </w:tc>
        <w:tc>
          <w:tcPr>
            <w:tcW w:w="1985" w:type="dxa"/>
            <w:shd w:val="clear" w:color="auto" w:fill="auto"/>
            <w:vAlign w:val="center"/>
          </w:tcPr>
          <w:p w14:paraId="15DEA26F" w14:textId="77777777" w:rsidR="007B538E" w:rsidRPr="008367BC" w:rsidRDefault="007B538E" w:rsidP="00AA74F6">
            <w:pPr>
              <w:spacing w:after="120"/>
              <w:jc w:val="center"/>
              <w:rPr>
                <w:rFonts w:ascii="Arial" w:hAnsi="Arial" w:cs="Arial"/>
                <w:sz w:val="18"/>
                <w:szCs w:val="18"/>
              </w:rPr>
            </w:pPr>
            <w:r w:rsidRPr="008367BC">
              <w:rPr>
                <w:rFonts w:ascii="Arial" w:hAnsi="Arial" w:cs="Arial"/>
                <w:sz w:val="18"/>
                <w:szCs w:val="18"/>
              </w:rPr>
              <w:t xml:space="preserve">Wartość współczynnika </w:t>
            </w:r>
            <w:proofErr w:type="spellStart"/>
            <w:r w:rsidRPr="008367BC">
              <w:rPr>
                <w:rFonts w:ascii="Arial" w:hAnsi="Arial" w:cs="Arial"/>
                <w:sz w:val="18"/>
                <w:szCs w:val="18"/>
              </w:rPr>
              <w:t>f</w:t>
            </w:r>
            <w:r w:rsidRPr="008367BC">
              <w:rPr>
                <w:rFonts w:ascii="Arial" w:hAnsi="Arial" w:cs="Arial"/>
                <w:sz w:val="18"/>
                <w:szCs w:val="18"/>
                <w:vertAlign w:val="subscript"/>
              </w:rPr>
              <w:t>S</w:t>
            </w:r>
            <w:proofErr w:type="spellEnd"/>
          </w:p>
        </w:tc>
      </w:tr>
      <w:tr w:rsidR="007B538E" w:rsidRPr="008367BC" w14:paraId="354E903F" w14:textId="77777777" w:rsidTr="00AA74F6">
        <w:trPr>
          <w:jc w:val="center"/>
        </w:trPr>
        <w:tc>
          <w:tcPr>
            <w:tcW w:w="1843" w:type="dxa"/>
            <w:shd w:val="clear" w:color="auto" w:fill="auto"/>
            <w:vAlign w:val="center"/>
          </w:tcPr>
          <w:p w14:paraId="3A4275D5" w14:textId="16F6A5C3" w:rsidR="007B538E" w:rsidRPr="008367BC" w:rsidRDefault="009C7DFA" w:rsidP="00AA74F6">
            <w:pPr>
              <w:spacing w:after="120"/>
              <w:rPr>
                <w:rFonts w:ascii="Arial" w:hAnsi="Arial" w:cs="Arial"/>
                <w:sz w:val="18"/>
                <w:szCs w:val="18"/>
              </w:rPr>
            </w:pPr>
            <w:r w:rsidRPr="008367BC">
              <w:rPr>
                <w:rFonts w:ascii="Arial" w:hAnsi="Arial" w:cs="Arial"/>
                <w:sz w:val="18"/>
                <w:szCs w:val="18"/>
              </w:rPr>
              <w:t>M</w:t>
            </w:r>
            <w:r w:rsidR="007B538E" w:rsidRPr="008367BC">
              <w:rPr>
                <w:rFonts w:ascii="Arial" w:hAnsi="Arial" w:cs="Arial"/>
                <w:sz w:val="18"/>
                <w:szCs w:val="18"/>
              </w:rPr>
              <w:t>arzec</w:t>
            </w:r>
          </w:p>
        </w:tc>
        <w:tc>
          <w:tcPr>
            <w:tcW w:w="1985" w:type="dxa"/>
            <w:shd w:val="clear" w:color="auto" w:fill="auto"/>
            <w:vAlign w:val="center"/>
          </w:tcPr>
          <w:p w14:paraId="22AF2C98" w14:textId="77777777" w:rsidR="007B538E" w:rsidRPr="008367BC" w:rsidRDefault="007B538E" w:rsidP="00AA74F6">
            <w:pPr>
              <w:spacing w:after="120"/>
              <w:jc w:val="center"/>
              <w:rPr>
                <w:rFonts w:ascii="Arial" w:hAnsi="Arial" w:cs="Arial"/>
                <w:sz w:val="18"/>
                <w:szCs w:val="18"/>
              </w:rPr>
            </w:pPr>
            <w:r w:rsidRPr="008367BC">
              <w:rPr>
                <w:rFonts w:ascii="Arial" w:hAnsi="Arial" w:cs="Arial"/>
                <w:sz w:val="18"/>
                <w:szCs w:val="18"/>
              </w:rPr>
              <w:t>1,00</w:t>
            </w:r>
          </w:p>
        </w:tc>
      </w:tr>
      <w:tr w:rsidR="007B538E" w:rsidRPr="008367BC" w14:paraId="3ECD7238" w14:textId="77777777" w:rsidTr="00AA74F6">
        <w:trPr>
          <w:jc w:val="center"/>
        </w:trPr>
        <w:tc>
          <w:tcPr>
            <w:tcW w:w="1843" w:type="dxa"/>
            <w:shd w:val="clear" w:color="auto" w:fill="auto"/>
            <w:vAlign w:val="center"/>
          </w:tcPr>
          <w:p w14:paraId="2200903D" w14:textId="6BCEA9DD" w:rsidR="007B538E" w:rsidRPr="008367BC" w:rsidRDefault="009C7DFA" w:rsidP="00AA74F6">
            <w:pPr>
              <w:spacing w:after="120"/>
              <w:rPr>
                <w:rFonts w:ascii="Arial" w:hAnsi="Arial" w:cs="Arial"/>
                <w:sz w:val="18"/>
                <w:szCs w:val="18"/>
              </w:rPr>
            </w:pPr>
            <w:r w:rsidRPr="008367BC">
              <w:rPr>
                <w:rFonts w:ascii="Arial" w:hAnsi="Arial" w:cs="Arial"/>
                <w:sz w:val="18"/>
                <w:szCs w:val="18"/>
              </w:rPr>
              <w:t>K</w:t>
            </w:r>
            <w:r w:rsidR="007B538E" w:rsidRPr="008367BC">
              <w:rPr>
                <w:rFonts w:ascii="Arial" w:hAnsi="Arial" w:cs="Arial"/>
                <w:sz w:val="18"/>
                <w:szCs w:val="18"/>
              </w:rPr>
              <w:t>wiecień</w:t>
            </w:r>
          </w:p>
        </w:tc>
        <w:tc>
          <w:tcPr>
            <w:tcW w:w="1985" w:type="dxa"/>
            <w:shd w:val="clear" w:color="auto" w:fill="auto"/>
            <w:vAlign w:val="center"/>
          </w:tcPr>
          <w:p w14:paraId="0AAA355A" w14:textId="77777777" w:rsidR="007B538E" w:rsidRPr="008367BC" w:rsidRDefault="007B538E" w:rsidP="00AA74F6">
            <w:pPr>
              <w:spacing w:after="120"/>
              <w:jc w:val="center"/>
              <w:rPr>
                <w:rFonts w:ascii="Arial" w:hAnsi="Arial" w:cs="Arial"/>
                <w:sz w:val="18"/>
                <w:szCs w:val="18"/>
              </w:rPr>
            </w:pPr>
            <w:r w:rsidRPr="008367BC">
              <w:rPr>
                <w:rFonts w:ascii="Arial" w:hAnsi="Arial" w:cs="Arial"/>
                <w:sz w:val="18"/>
                <w:szCs w:val="18"/>
              </w:rPr>
              <w:t>1,04</w:t>
            </w:r>
          </w:p>
        </w:tc>
      </w:tr>
      <w:tr w:rsidR="007B538E" w:rsidRPr="008367BC" w14:paraId="160B344D" w14:textId="77777777" w:rsidTr="00AA74F6">
        <w:trPr>
          <w:jc w:val="center"/>
        </w:trPr>
        <w:tc>
          <w:tcPr>
            <w:tcW w:w="1843" w:type="dxa"/>
            <w:shd w:val="clear" w:color="auto" w:fill="auto"/>
            <w:vAlign w:val="center"/>
          </w:tcPr>
          <w:p w14:paraId="6AA3B4D8" w14:textId="210053E2" w:rsidR="007B538E" w:rsidRPr="008367BC" w:rsidRDefault="009C7DFA" w:rsidP="00AA74F6">
            <w:pPr>
              <w:spacing w:after="120"/>
              <w:rPr>
                <w:rFonts w:ascii="Arial" w:hAnsi="Arial" w:cs="Arial"/>
                <w:sz w:val="18"/>
                <w:szCs w:val="18"/>
              </w:rPr>
            </w:pPr>
            <w:r w:rsidRPr="008367BC">
              <w:rPr>
                <w:rFonts w:ascii="Arial" w:hAnsi="Arial" w:cs="Arial"/>
                <w:sz w:val="18"/>
                <w:szCs w:val="18"/>
              </w:rPr>
              <w:t>M</w:t>
            </w:r>
            <w:r w:rsidR="007B538E" w:rsidRPr="008367BC">
              <w:rPr>
                <w:rFonts w:ascii="Arial" w:hAnsi="Arial" w:cs="Arial"/>
                <w:sz w:val="18"/>
                <w:szCs w:val="18"/>
              </w:rPr>
              <w:t>aj</w:t>
            </w:r>
          </w:p>
        </w:tc>
        <w:tc>
          <w:tcPr>
            <w:tcW w:w="1985" w:type="dxa"/>
            <w:shd w:val="clear" w:color="auto" w:fill="auto"/>
            <w:vAlign w:val="center"/>
          </w:tcPr>
          <w:p w14:paraId="255DAEE4" w14:textId="77777777" w:rsidR="007B538E" w:rsidRPr="008367BC" w:rsidRDefault="007B538E" w:rsidP="00AA74F6">
            <w:pPr>
              <w:spacing w:after="120"/>
              <w:jc w:val="center"/>
              <w:rPr>
                <w:rFonts w:ascii="Arial" w:hAnsi="Arial" w:cs="Arial"/>
                <w:sz w:val="18"/>
                <w:szCs w:val="18"/>
              </w:rPr>
            </w:pPr>
            <w:r w:rsidRPr="008367BC">
              <w:rPr>
                <w:rFonts w:ascii="Arial" w:hAnsi="Arial" w:cs="Arial"/>
                <w:sz w:val="18"/>
                <w:szCs w:val="18"/>
              </w:rPr>
              <w:t>1,08</w:t>
            </w:r>
          </w:p>
        </w:tc>
      </w:tr>
      <w:tr w:rsidR="007B538E" w:rsidRPr="008367BC" w14:paraId="50D557B4" w14:textId="77777777" w:rsidTr="00AA74F6">
        <w:trPr>
          <w:jc w:val="center"/>
        </w:trPr>
        <w:tc>
          <w:tcPr>
            <w:tcW w:w="1843" w:type="dxa"/>
            <w:shd w:val="clear" w:color="auto" w:fill="auto"/>
            <w:vAlign w:val="center"/>
          </w:tcPr>
          <w:p w14:paraId="46E22EC9" w14:textId="7A214028" w:rsidR="007B538E" w:rsidRPr="008367BC" w:rsidRDefault="009C7DFA" w:rsidP="00AA74F6">
            <w:pPr>
              <w:spacing w:after="120"/>
              <w:rPr>
                <w:rFonts w:ascii="Arial" w:hAnsi="Arial" w:cs="Arial"/>
                <w:sz w:val="18"/>
                <w:szCs w:val="18"/>
              </w:rPr>
            </w:pPr>
            <w:r w:rsidRPr="008367BC">
              <w:rPr>
                <w:rFonts w:ascii="Arial" w:hAnsi="Arial" w:cs="Arial"/>
                <w:sz w:val="18"/>
                <w:szCs w:val="18"/>
              </w:rPr>
              <w:t>C</w:t>
            </w:r>
            <w:r w:rsidR="007B538E" w:rsidRPr="008367BC">
              <w:rPr>
                <w:rFonts w:ascii="Arial" w:hAnsi="Arial" w:cs="Arial"/>
                <w:sz w:val="18"/>
                <w:szCs w:val="18"/>
              </w:rPr>
              <w:t>zerwiec</w:t>
            </w:r>
          </w:p>
        </w:tc>
        <w:tc>
          <w:tcPr>
            <w:tcW w:w="1985" w:type="dxa"/>
            <w:shd w:val="clear" w:color="auto" w:fill="auto"/>
            <w:vAlign w:val="center"/>
          </w:tcPr>
          <w:p w14:paraId="6E29B36D" w14:textId="77777777" w:rsidR="007B538E" w:rsidRPr="008367BC" w:rsidRDefault="007B538E" w:rsidP="00AA74F6">
            <w:pPr>
              <w:spacing w:after="120"/>
              <w:jc w:val="center"/>
              <w:rPr>
                <w:rFonts w:ascii="Arial" w:hAnsi="Arial" w:cs="Arial"/>
                <w:sz w:val="18"/>
                <w:szCs w:val="18"/>
              </w:rPr>
            </w:pPr>
            <w:r w:rsidRPr="008367BC">
              <w:rPr>
                <w:rFonts w:ascii="Arial" w:hAnsi="Arial" w:cs="Arial"/>
                <w:sz w:val="18"/>
                <w:szCs w:val="18"/>
              </w:rPr>
              <w:t>1,12</w:t>
            </w:r>
          </w:p>
        </w:tc>
      </w:tr>
      <w:tr w:rsidR="007B538E" w:rsidRPr="008367BC" w14:paraId="41D04FB5" w14:textId="77777777" w:rsidTr="00AA74F6">
        <w:trPr>
          <w:jc w:val="center"/>
        </w:trPr>
        <w:tc>
          <w:tcPr>
            <w:tcW w:w="1843" w:type="dxa"/>
            <w:shd w:val="clear" w:color="auto" w:fill="auto"/>
            <w:vAlign w:val="center"/>
          </w:tcPr>
          <w:p w14:paraId="23927F04" w14:textId="711EDB10" w:rsidR="007B538E" w:rsidRPr="008367BC" w:rsidRDefault="009C7DFA" w:rsidP="00AA74F6">
            <w:pPr>
              <w:spacing w:after="120"/>
              <w:rPr>
                <w:rFonts w:ascii="Arial" w:hAnsi="Arial" w:cs="Arial"/>
                <w:sz w:val="18"/>
                <w:szCs w:val="18"/>
              </w:rPr>
            </w:pPr>
            <w:r w:rsidRPr="008367BC">
              <w:rPr>
                <w:rFonts w:ascii="Arial" w:hAnsi="Arial" w:cs="Arial"/>
                <w:sz w:val="18"/>
                <w:szCs w:val="18"/>
              </w:rPr>
              <w:t>L</w:t>
            </w:r>
            <w:r w:rsidR="007B538E" w:rsidRPr="008367BC">
              <w:rPr>
                <w:rFonts w:ascii="Arial" w:hAnsi="Arial" w:cs="Arial"/>
                <w:sz w:val="18"/>
                <w:szCs w:val="18"/>
              </w:rPr>
              <w:t>ipiec</w:t>
            </w:r>
          </w:p>
        </w:tc>
        <w:tc>
          <w:tcPr>
            <w:tcW w:w="1985" w:type="dxa"/>
            <w:shd w:val="clear" w:color="auto" w:fill="auto"/>
            <w:vAlign w:val="center"/>
          </w:tcPr>
          <w:p w14:paraId="461F8223" w14:textId="77777777" w:rsidR="007B538E" w:rsidRPr="008367BC" w:rsidRDefault="007B538E" w:rsidP="00AA74F6">
            <w:pPr>
              <w:spacing w:after="120"/>
              <w:jc w:val="center"/>
              <w:rPr>
                <w:rFonts w:ascii="Arial" w:hAnsi="Arial" w:cs="Arial"/>
                <w:sz w:val="18"/>
                <w:szCs w:val="18"/>
              </w:rPr>
            </w:pPr>
            <w:r w:rsidRPr="008367BC">
              <w:rPr>
                <w:rFonts w:ascii="Arial" w:hAnsi="Arial" w:cs="Arial"/>
                <w:sz w:val="18"/>
                <w:szCs w:val="18"/>
              </w:rPr>
              <w:t>1,15</w:t>
            </w:r>
          </w:p>
        </w:tc>
      </w:tr>
      <w:tr w:rsidR="007B538E" w:rsidRPr="008367BC" w14:paraId="1573E0BF" w14:textId="77777777" w:rsidTr="00AA74F6">
        <w:trPr>
          <w:jc w:val="center"/>
        </w:trPr>
        <w:tc>
          <w:tcPr>
            <w:tcW w:w="1843" w:type="dxa"/>
            <w:shd w:val="clear" w:color="auto" w:fill="auto"/>
            <w:vAlign w:val="center"/>
          </w:tcPr>
          <w:p w14:paraId="6F8EA82B" w14:textId="329EFB12" w:rsidR="007B538E" w:rsidRPr="008367BC" w:rsidRDefault="009C7DFA" w:rsidP="00AA74F6">
            <w:pPr>
              <w:spacing w:after="120"/>
              <w:rPr>
                <w:rFonts w:ascii="Arial" w:hAnsi="Arial" w:cs="Arial"/>
                <w:sz w:val="18"/>
                <w:szCs w:val="18"/>
              </w:rPr>
            </w:pPr>
            <w:r w:rsidRPr="008367BC">
              <w:rPr>
                <w:rFonts w:ascii="Arial" w:hAnsi="Arial" w:cs="Arial"/>
                <w:sz w:val="18"/>
                <w:szCs w:val="18"/>
              </w:rPr>
              <w:t>S</w:t>
            </w:r>
            <w:r w:rsidR="007B538E" w:rsidRPr="008367BC">
              <w:rPr>
                <w:rFonts w:ascii="Arial" w:hAnsi="Arial" w:cs="Arial"/>
                <w:sz w:val="18"/>
                <w:szCs w:val="18"/>
              </w:rPr>
              <w:t>ierpień</w:t>
            </w:r>
          </w:p>
        </w:tc>
        <w:tc>
          <w:tcPr>
            <w:tcW w:w="1985" w:type="dxa"/>
            <w:shd w:val="clear" w:color="auto" w:fill="auto"/>
            <w:vAlign w:val="center"/>
          </w:tcPr>
          <w:p w14:paraId="4ED67C85" w14:textId="77777777" w:rsidR="007B538E" w:rsidRPr="008367BC" w:rsidRDefault="007B538E" w:rsidP="00AA74F6">
            <w:pPr>
              <w:spacing w:after="120"/>
              <w:jc w:val="center"/>
              <w:rPr>
                <w:rFonts w:ascii="Arial" w:hAnsi="Arial" w:cs="Arial"/>
                <w:sz w:val="18"/>
                <w:szCs w:val="18"/>
              </w:rPr>
            </w:pPr>
            <w:r w:rsidRPr="008367BC">
              <w:rPr>
                <w:rFonts w:ascii="Arial" w:hAnsi="Arial" w:cs="Arial"/>
                <w:sz w:val="18"/>
                <w:szCs w:val="18"/>
              </w:rPr>
              <w:t>1,17</w:t>
            </w:r>
          </w:p>
        </w:tc>
      </w:tr>
      <w:tr w:rsidR="007B538E" w:rsidRPr="008367BC" w14:paraId="263C4273" w14:textId="77777777" w:rsidTr="00AA74F6">
        <w:trPr>
          <w:jc w:val="center"/>
        </w:trPr>
        <w:tc>
          <w:tcPr>
            <w:tcW w:w="1843" w:type="dxa"/>
            <w:shd w:val="clear" w:color="auto" w:fill="auto"/>
            <w:vAlign w:val="center"/>
          </w:tcPr>
          <w:p w14:paraId="1981BE7B" w14:textId="21916B14" w:rsidR="007B538E" w:rsidRPr="008367BC" w:rsidRDefault="009C7DFA" w:rsidP="00AA74F6">
            <w:pPr>
              <w:spacing w:after="120"/>
              <w:rPr>
                <w:rFonts w:ascii="Arial" w:hAnsi="Arial" w:cs="Arial"/>
                <w:sz w:val="18"/>
                <w:szCs w:val="18"/>
              </w:rPr>
            </w:pPr>
            <w:r w:rsidRPr="008367BC">
              <w:rPr>
                <w:rFonts w:ascii="Arial" w:hAnsi="Arial" w:cs="Arial"/>
                <w:sz w:val="18"/>
                <w:szCs w:val="18"/>
              </w:rPr>
              <w:t>W</w:t>
            </w:r>
            <w:r w:rsidR="007B538E" w:rsidRPr="008367BC">
              <w:rPr>
                <w:rFonts w:ascii="Arial" w:hAnsi="Arial" w:cs="Arial"/>
                <w:sz w:val="18"/>
                <w:szCs w:val="18"/>
              </w:rPr>
              <w:t>rzesień</w:t>
            </w:r>
          </w:p>
        </w:tc>
        <w:tc>
          <w:tcPr>
            <w:tcW w:w="1985" w:type="dxa"/>
            <w:shd w:val="clear" w:color="auto" w:fill="auto"/>
            <w:vAlign w:val="center"/>
          </w:tcPr>
          <w:p w14:paraId="217525EA" w14:textId="77777777" w:rsidR="007B538E" w:rsidRPr="008367BC" w:rsidRDefault="007B538E" w:rsidP="00AA74F6">
            <w:pPr>
              <w:spacing w:after="120"/>
              <w:jc w:val="center"/>
              <w:rPr>
                <w:rFonts w:ascii="Arial" w:hAnsi="Arial" w:cs="Arial"/>
                <w:sz w:val="18"/>
                <w:szCs w:val="18"/>
              </w:rPr>
            </w:pPr>
            <w:r w:rsidRPr="008367BC">
              <w:rPr>
                <w:rFonts w:ascii="Arial" w:hAnsi="Arial" w:cs="Arial"/>
                <w:sz w:val="18"/>
                <w:szCs w:val="18"/>
              </w:rPr>
              <w:t>1,20</w:t>
            </w:r>
          </w:p>
        </w:tc>
      </w:tr>
      <w:tr w:rsidR="007B538E" w:rsidRPr="008367BC" w14:paraId="3EE95A40" w14:textId="77777777" w:rsidTr="00AA74F6">
        <w:trPr>
          <w:jc w:val="center"/>
        </w:trPr>
        <w:tc>
          <w:tcPr>
            <w:tcW w:w="1843" w:type="dxa"/>
            <w:shd w:val="clear" w:color="auto" w:fill="auto"/>
            <w:vAlign w:val="center"/>
          </w:tcPr>
          <w:p w14:paraId="70CDF158" w14:textId="77777777" w:rsidR="007B538E" w:rsidRPr="008367BC" w:rsidRDefault="007B538E" w:rsidP="00AA74F6">
            <w:pPr>
              <w:spacing w:after="120"/>
              <w:rPr>
                <w:rFonts w:ascii="Arial" w:hAnsi="Arial" w:cs="Arial"/>
                <w:sz w:val="18"/>
                <w:szCs w:val="18"/>
              </w:rPr>
            </w:pPr>
            <w:r w:rsidRPr="008367BC">
              <w:rPr>
                <w:rFonts w:ascii="Arial" w:hAnsi="Arial" w:cs="Arial"/>
                <w:sz w:val="18"/>
                <w:szCs w:val="18"/>
              </w:rPr>
              <w:t>październik</w:t>
            </w:r>
          </w:p>
        </w:tc>
        <w:tc>
          <w:tcPr>
            <w:tcW w:w="1985" w:type="dxa"/>
            <w:shd w:val="clear" w:color="auto" w:fill="auto"/>
            <w:vAlign w:val="center"/>
          </w:tcPr>
          <w:p w14:paraId="27B0A652" w14:textId="77777777" w:rsidR="007B538E" w:rsidRPr="008367BC" w:rsidRDefault="007B538E" w:rsidP="00AA74F6">
            <w:pPr>
              <w:spacing w:after="120"/>
              <w:jc w:val="center"/>
              <w:rPr>
                <w:rFonts w:ascii="Arial" w:hAnsi="Arial" w:cs="Arial"/>
                <w:sz w:val="18"/>
                <w:szCs w:val="18"/>
              </w:rPr>
            </w:pPr>
            <w:r w:rsidRPr="008367BC">
              <w:rPr>
                <w:rFonts w:ascii="Arial" w:hAnsi="Arial" w:cs="Arial"/>
                <w:sz w:val="18"/>
                <w:szCs w:val="18"/>
              </w:rPr>
              <w:t>1,22</w:t>
            </w:r>
          </w:p>
        </w:tc>
      </w:tr>
      <w:tr w:rsidR="007B538E" w:rsidRPr="008367BC" w14:paraId="20337C7C" w14:textId="77777777" w:rsidTr="00AA74F6">
        <w:trPr>
          <w:jc w:val="center"/>
        </w:trPr>
        <w:tc>
          <w:tcPr>
            <w:tcW w:w="1843" w:type="dxa"/>
            <w:shd w:val="clear" w:color="auto" w:fill="auto"/>
            <w:vAlign w:val="center"/>
          </w:tcPr>
          <w:p w14:paraId="19382783" w14:textId="5032DAAB" w:rsidR="007B538E" w:rsidRPr="008367BC" w:rsidRDefault="009C7DFA" w:rsidP="00AA74F6">
            <w:pPr>
              <w:spacing w:after="120"/>
              <w:rPr>
                <w:rFonts w:ascii="Arial" w:hAnsi="Arial" w:cs="Arial"/>
                <w:sz w:val="18"/>
                <w:szCs w:val="18"/>
              </w:rPr>
            </w:pPr>
            <w:r w:rsidRPr="008367BC">
              <w:rPr>
                <w:rFonts w:ascii="Arial" w:hAnsi="Arial" w:cs="Arial"/>
                <w:sz w:val="18"/>
                <w:szCs w:val="18"/>
              </w:rPr>
              <w:t>L</w:t>
            </w:r>
            <w:r w:rsidR="007B538E" w:rsidRPr="008367BC">
              <w:rPr>
                <w:rFonts w:ascii="Arial" w:hAnsi="Arial" w:cs="Arial"/>
                <w:sz w:val="18"/>
                <w:szCs w:val="18"/>
              </w:rPr>
              <w:t>istopad</w:t>
            </w:r>
          </w:p>
        </w:tc>
        <w:tc>
          <w:tcPr>
            <w:tcW w:w="1985" w:type="dxa"/>
            <w:shd w:val="clear" w:color="auto" w:fill="auto"/>
            <w:vAlign w:val="center"/>
          </w:tcPr>
          <w:p w14:paraId="1A509366" w14:textId="77777777" w:rsidR="007B538E" w:rsidRPr="008367BC" w:rsidRDefault="007B538E" w:rsidP="00AA74F6">
            <w:pPr>
              <w:spacing w:after="120"/>
              <w:jc w:val="center"/>
              <w:rPr>
                <w:rFonts w:ascii="Arial" w:hAnsi="Arial" w:cs="Arial"/>
                <w:sz w:val="18"/>
                <w:szCs w:val="18"/>
              </w:rPr>
            </w:pPr>
            <w:r w:rsidRPr="008367BC">
              <w:rPr>
                <w:rFonts w:ascii="Arial" w:hAnsi="Arial" w:cs="Arial"/>
                <w:sz w:val="18"/>
                <w:szCs w:val="18"/>
              </w:rPr>
              <w:t>1,25</w:t>
            </w:r>
          </w:p>
        </w:tc>
      </w:tr>
      <w:tr w:rsidR="007B538E" w:rsidRPr="008367BC" w14:paraId="504CC0ED" w14:textId="77777777" w:rsidTr="00AA74F6">
        <w:trPr>
          <w:jc w:val="center"/>
        </w:trPr>
        <w:tc>
          <w:tcPr>
            <w:tcW w:w="1843" w:type="dxa"/>
            <w:shd w:val="clear" w:color="auto" w:fill="auto"/>
            <w:vAlign w:val="center"/>
          </w:tcPr>
          <w:p w14:paraId="723B5F03" w14:textId="59A44FA5" w:rsidR="007B538E" w:rsidRPr="008367BC" w:rsidRDefault="009C7DFA" w:rsidP="00AA74F6">
            <w:pPr>
              <w:spacing w:after="120"/>
              <w:rPr>
                <w:rFonts w:ascii="Arial" w:hAnsi="Arial" w:cs="Arial"/>
                <w:sz w:val="18"/>
                <w:szCs w:val="18"/>
              </w:rPr>
            </w:pPr>
            <w:r w:rsidRPr="008367BC">
              <w:rPr>
                <w:rFonts w:ascii="Arial" w:hAnsi="Arial" w:cs="Arial"/>
                <w:sz w:val="18"/>
                <w:szCs w:val="18"/>
              </w:rPr>
              <w:t>G</w:t>
            </w:r>
            <w:r w:rsidR="007B538E" w:rsidRPr="008367BC">
              <w:rPr>
                <w:rFonts w:ascii="Arial" w:hAnsi="Arial" w:cs="Arial"/>
                <w:sz w:val="18"/>
                <w:szCs w:val="18"/>
              </w:rPr>
              <w:t>rudzień</w:t>
            </w:r>
          </w:p>
        </w:tc>
        <w:tc>
          <w:tcPr>
            <w:tcW w:w="1985" w:type="dxa"/>
            <w:shd w:val="clear" w:color="auto" w:fill="auto"/>
            <w:vAlign w:val="center"/>
          </w:tcPr>
          <w:p w14:paraId="6AB8D83E" w14:textId="77777777" w:rsidR="007B538E" w:rsidRPr="008367BC" w:rsidRDefault="007B538E" w:rsidP="00AA74F6">
            <w:pPr>
              <w:spacing w:after="120"/>
              <w:jc w:val="center"/>
              <w:rPr>
                <w:rFonts w:ascii="Arial" w:hAnsi="Arial" w:cs="Arial"/>
                <w:sz w:val="18"/>
                <w:szCs w:val="18"/>
              </w:rPr>
            </w:pPr>
            <w:r w:rsidRPr="008367BC">
              <w:rPr>
                <w:rFonts w:ascii="Arial" w:hAnsi="Arial" w:cs="Arial"/>
                <w:sz w:val="18"/>
                <w:szCs w:val="18"/>
              </w:rPr>
              <w:t>1,28</w:t>
            </w:r>
          </w:p>
        </w:tc>
      </w:tr>
    </w:tbl>
    <w:p w14:paraId="2B922E59" w14:textId="77777777" w:rsidR="007B538E" w:rsidRPr="008367BC" w:rsidRDefault="007B538E" w:rsidP="007B538E">
      <w:pPr>
        <w:spacing w:after="120"/>
        <w:jc w:val="both"/>
        <w:rPr>
          <w:rFonts w:ascii="Arial" w:hAnsi="Arial" w:cs="Arial"/>
          <w:sz w:val="18"/>
          <w:szCs w:val="18"/>
        </w:rPr>
      </w:pPr>
    </w:p>
    <w:p w14:paraId="2208D58A" w14:textId="77777777" w:rsidR="007B538E" w:rsidRPr="008367BC" w:rsidRDefault="007B538E" w:rsidP="007B538E">
      <w:pPr>
        <w:numPr>
          <w:ilvl w:val="0"/>
          <w:numId w:val="3"/>
        </w:numPr>
        <w:spacing w:after="120"/>
        <w:ind w:left="426" w:hanging="426"/>
        <w:jc w:val="both"/>
        <w:rPr>
          <w:rFonts w:ascii="Arial" w:hAnsi="Arial" w:cs="Arial"/>
          <w:sz w:val="18"/>
          <w:szCs w:val="18"/>
        </w:rPr>
      </w:pPr>
      <w:r w:rsidRPr="008367BC">
        <w:rPr>
          <w:rFonts w:ascii="Arial" w:hAnsi="Arial" w:cs="Arial"/>
          <w:sz w:val="18"/>
          <w:szCs w:val="18"/>
        </w:rPr>
        <w:t>Korekta ugięć ze względu na rodzaj podbudowy</w:t>
      </w:r>
    </w:p>
    <w:p w14:paraId="47F4D45E" w14:textId="77777777" w:rsidR="007B538E" w:rsidRPr="008367BC" w:rsidRDefault="007B538E" w:rsidP="007B538E">
      <w:pPr>
        <w:spacing w:after="120"/>
        <w:jc w:val="both"/>
        <w:rPr>
          <w:rFonts w:ascii="Arial" w:hAnsi="Arial" w:cs="Arial"/>
          <w:sz w:val="18"/>
          <w:szCs w:val="18"/>
        </w:rPr>
      </w:pPr>
      <w:r w:rsidRPr="008367BC">
        <w:rPr>
          <w:rFonts w:ascii="Arial" w:hAnsi="Arial" w:cs="Arial"/>
          <w:sz w:val="18"/>
          <w:szCs w:val="18"/>
        </w:rPr>
        <w:t xml:space="preserve">Współczynnik podbudowy </w:t>
      </w:r>
      <w:proofErr w:type="spellStart"/>
      <w:r w:rsidRPr="008367BC">
        <w:rPr>
          <w:rFonts w:ascii="Arial" w:hAnsi="Arial" w:cs="Arial"/>
          <w:sz w:val="18"/>
          <w:szCs w:val="18"/>
        </w:rPr>
        <w:t>f</w:t>
      </w:r>
      <w:r w:rsidRPr="008367BC">
        <w:rPr>
          <w:rFonts w:ascii="Arial" w:hAnsi="Arial" w:cs="Arial"/>
          <w:sz w:val="18"/>
          <w:szCs w:val="18"/>
          <w:vertAlign w:val="subscript"/>
        </w:rPr>
        <w:t>P</w:t>
      </w:r>
      <w:proofErr w:type="spellEnd"/>
      <w:r w:rsidRPr="008367BC">
        <w:rPr>
          <w:rFonts w:ascii="Arial" w:hAnsi="Arial" w:cs="Arial"/>
          <w:sz w:val="18"/>
          <w:szCs w:val="18"/>
        </w:rPr>
        <w:t xml:space="preserve"> przedstawia się następująco:</w:t>
      </w:r>
    </w:p>
    <w:p w14:paraId="1683EDB2" w14:textId="77777777" w:rsidR="007B538E" w:rsidRPr="008367BC" w:rsidRDefault="007B538E" w:rsidP="007B538E">
      <w:pPr>
        <w:numPr>
          <w:ilvl w:val="0"/>
          <w:numId w:val="11"/>
        </w:numPr>
        <w:spacing w:after="120"/>
        <w:ind w:left="284" w:firstLine="283"/>
        <w:jc w:val="both"/>
        <w:rPr>
          <w:rFonts w:ascii="Arial" w:hAnsi="Arial" w:cs="Arial"/>
          <w:sz w:val="18"/>
          <w:szCs w:val="18"/>
        </w:rPr>
      </w:pPr>
      <w:r w:rsidRPr="008367BC">
        <w:rPr>
          <w:rFonts w:ascii="Arial" w:hAnsi="Arial" w:cs="Arial"/>
          <w:sz w:val="18"/>
          <w:szCs w:val="18"/>
        </w:rPr>
        <w:t>nawierzchnie podatne: 1,0</w:t>
      </w:r>
    </w:p>
    <w:p w14:paraId="5E428D72" w14:textId="77777777" w:rsidR="007B538E" w:rsidRPr="008367BC" w:rsidRDefault="007B538E" w:rsidP="007B538E">
      <w:pPr>
        <w:numPr>
          <w:ilvl w:val="0"/>
          <w:numId w:val="11"/>
        </w:numPr>
        <w:spacing w:after="120"/>
        <w:ind w:left="284" w:firstLine="283"/>
        <w:rPr>
          <w:rFonts w:ascii="Arial" w:hAnsi="Arial" w:cs="Arial"/>
          <w:sz w:val="18"/>
          <w:szCs w:val="18"/>
        </w:rPr>
      </w:pPr>
      <w:r w:rsidRPr="008367BC">
        <w:rPr>
          <w:rFonts w:ascii="Arial" w:hAnsi="Arial" w:cs="Arial"/>
          <w:sz w:val="18"/>
          <w:szCs w:val="18"/>
        </w:rPr>
        <w:t>nawierzchnie z podbudową z kruszywa lub gruntu stabilizowanego cementem: od 1,0 do 1,1</w:t>
      </w:r>
    </w:p>
    <w:p w14:paraId="3A3928B4" w14:textId="77777777" w:rsidR="007B538E" w:rsidRPr="008367BC" w:rsidRDefault="007B538E" w:rsidP="007B538E">
      <w:pPr>
        <w:numPr>
          <w:ilvl w:val="0"/>
          <w:numId w:val="11"/>
        </w:numPr>
        <w:spacing w:after="120"/>
        <w:ind w:left="284" w:firstLine="283"/>
        <w:jc w:val="both"/>
        <w:rPr>
          <w:rFonts w:ascii="Arial" w:hAnsi="Arial" w:cs="Arial"/>
          <w:sz w:val="18"/>
          <w:szCs w:val="18"/>
        </w:rPr>
      </w:pPr>
      <w:r w:rsidRPr="008367BC">
        <w:rPr>
          <w:rFonts w:ascii="Arial" w:hAnsi="Arial" w:cs="Arial"/>
          <w:sz w:val="18"/>
          <w:szCs w:val="18"/>
        </w:rPr>
        <w:t>nawierzchnie z podbudową z chudego betonu: od 1,1 do 1,2</w:t>
      </w:r>
    </w:p>
    <w:p w14:paraId="3DDB5682" w14:textId="77777777" w:rsidR="007B538E" w:rsidRPr="008367BC" w:rsidRDefault="007B538E" w:rsidP="007B538E">
      <w:pPr>
        <w:numPr>
          <w:ilvl w:val="0"/>
          <w:numId w:val="11"/>
        </w:numPr>
        <w:spacing w:after="120"/>
        <w:ind w:left="284" w:firstLine="283"/>
        <w:jc w:val="both"/>
        <w:rPr>
          <w:rFonts w:ascii="Arial" w:hAnsi="Arial" w:cs="Arial"/>
          <w:sz w:val="18"/>
          <w:szCs w:val="18"/>
        </w:rPr>
      </w:pPr>
      <w:r w:rsidRPr="008367BC">
        <w:rPr>
          <w:rFonts w:ascii="Arial" w:hAnsi="Arial" w:cs="Arial"/>
          <w:sz w:val="18"/>
          <w:szCs w:val="18"/>
        </w:rPr>
        <w:t>nawierzchnie z podbudową z betonu cementowego: od 1,2 do 1,4</w:t>
      </w:r>
    </w:p>
    <w:p w14:paraId="2292A041" w14:textId="77777777" w:rsidR="007B538E" w:rsidRPr="008367BC" w:rsidRDefault="007B538E" w:rsidP="007B538E">
      <w:pPr>
        <w:spacing w:after="120"/>
        <w:jc w:val="both"/>
        <w:rPr>
          <w:rFonts w:ascii="Arial" w:hAnsi="Arial" w:cs="Arial"/>
          <w:sz w:val="18"/>
          <w:szCs w:val="18"/>
        </w:rPr>
      </w:pPr>
      <w:r w:rsidRPr="008367BC">
        <w:rPr>
          <w:rFonts w:ascii="Arial" w:hAnsi="Arial" w:cs="Arial"/>
          <w:sz w:val="18"/>
          <w:szCs w:val="18"/>
        </w:rPr>
        <w:t xml:space="preserve">Większą wartość tego współczynnika zaleca się przyjmować, gdy ugięcia są mniejsze, </w:t>
      </w:r>
      <w:r w:rsidRPr="008367BC">
        <w:rPr>
          <w:rFonts w:ascii="Arial" w:hAnsi="Arial" w:cs="Arial"/>
          <w:sz w:val="18"/>
          <w:szCs w:val="18"/>
        </w:rPr>
        <w:br/>
        <w:t xml:space="preserve">a podbudowa sztywniejsza. Dla podbudowy związanej spoiwem hydraulicznym, która uległa znacznym spękaniom zmęczeniowym, współczynnik </w:t>
      </w:r>
      <w:proofErr w:type="spellStart"/>
      <w:r w:rsidRPr="008367BC">
        <w:rPr>
          <w:rFonts w:ascii="Arial" w:hAnsi="Arial" w:cs="Arial"/>
          <w:sz w:val="18"/>
          <w:szCs w:val="18"/>
        </w:rPr>
        <w:t>fp</w:t>
      </w:r>
      <w:proofErr w:type="spellEnd"/>
      <w:r w:rsidRPr="008367BC">
        <w:rPr>
          <w:rFonts w:ascii="Arial" w:hAnsi="Arial" w:cs="Arial"/>
          <w:sz w:val="18"/>
          <w:szCs w:val="18"/>
        </w:rPr>
        <w:t xml:space="preserve"> jest bliski jedności. Aby dobrze oszacować wartość współczynnika </w:t>
      </w:r>
      <w:proofErr w:type="spellStart"/>
      <w:r w:rsidRPr="008367BC">
        <w:rPr>
          <w:rFonts w:ascii="Arial" w:hAnsi="Arial" w:cs="Arial"/>
          <w:sz w:val="18"/>
          <w:szCs w:val="18"/>
        </w:rPr>
        <w:t>fp</w:t>
      </w:r>
      <w:proofErr w:type="spellEnd"/>
      <w:r w:rsidRPr="008367BC">
        <w:rPr>
          <w:rFonts w:ascii="Arial" w:hAnsi="Arial" w:cs="Arial"/>
          <w:sz w:val="18"/>
          <w:szCs w:val="18"/>
        </w:rPr>
        <w:t>, konieczna jest, więc znajomość konstrukcji nawierzchni i ocena stanu podbudowy związanej spoiwem hydraulicznym.</w:t>
      </w:r>
    </w:p>
    <w:p w14:paraId="6E1AAE15" w14:textId="77777777" w:rsidR="007B538E" w:rsidRPr="008367BC" w:rsidRDefault="007B538E" w:rsidP="007B538E">
      <w:pPr>
        <w:spacing w:after="120"/>
        <w:jc w:val="both"/>
        <w:rPr>
          <w:rFonts w:ascii="Arial" w:hAnsi="Arial" w:cs="Arial"/>
          <w:sz w:val="18"/>
          <w:szCs w:val="18"/>
        </w:rPr>
      </w:pPr>
      <w:r w:rsidRPr="008367BC">
        <w:rPr>
          <w:rFonts w:ascii="Arial" w:hAnsi="Arial" w:cs="Arial"/>
          <w:b/>
          <w:sz w:val="18"/>
          <w:szCs w:val="18"/>
          <w:u w:val="single"/>
        </w:rPr>
        <w:t xml:space="preserve">Miarodajny wskaźnik </w:t>
      </w:r>
      <w:r w:rsidRPr="008367BC">
        <w:rPr>
          <w:rFonts w:ascii="Arial" w:hAnsi="Arial" w:cs="Arial"/>
          <w:b/>
          <w:bCs/>
          <w:sz w:val="18"/>
          <w:szCs w:val="18"/>
          <w:u w:val="single"/>
        </w:rPr>
        <w:t>SCI300</w:t>
      </w:r>
      <w:r w:rsidRPr="008367BC">
        <w:rPr>
          <w:rFonts w:ascii="Arial" w:hAnsi="Arial" w:cs="Arial"/>
          <w:sz w:val="18"/>
          <w:szCs w:val="18"/>
        </w:rPr>
        <w:t xml:space="preserve"> jest obliczany jako suma wartości średniej i odchylenia standardowego wskaźników krzywizny ugięcia nawierzchni dla wyników z kilometrowego odcinka drogi. Wartość wyznacza wg wzoru:</w:t>
      </w:r>
    </w:p>
    <w:p w14:paraId="10955EFB" w14:textId="77777777" w:rsidR="007B538E" w:rsidRPr="008367BC" w:rsidRDefault="007B538E" w:rsidP="007B538E">
      <w:pPr>
        <w:spacing w:after="120"/>
        <w:jc w:val="center"/>
        <w:rPr>
          <w:rFonts w:ascii="Arial" w:hAnsi="Arial" w:cs="Arial"/>
          <w:b/>
          <w:sz w:val="18"/>
          <w:szCs w:val="18"/>
        </w:rPr>
      </w:pPr>
    </w:p>
    <w:p w14:paraId="4D6986B2" w14:textId="77777777" w:rsidR="007B538E" w:rsidRPr="008367BC" w:rsidRDefault="007B538E" w:rsidP="007B538E">
      <w:pPr>
        <w:spacing w:after="120"/>
        <w:jc w:val="center"/>
        <w:rPr>
          <w:rFonts w:ascii="Arial" w:hAnsi="Arial" w:cs="Arial"/>
          <w:sz w:val="18"/>
          <w:szCs w:val="18"/>
        </w:rPr>
      </w:pPr>
      <m:oMathPara>
        <m:oMath>
          <m:r>
            <w:rPr>
              <w:rFonts w:ascii="Cambria Math" w:hAnsi="Cambria Math" w:cs="Arial"/>
              <w:sz w:val="18"/>
              <w:szCs w:val="18"/>
            </w:rPr>
            <m:t>SCI</m:t>
          </m:r>
          <m:r>
            <m:rPr>
              <m:sty m:val="p"/>
            </m:rPr>
            <w:rPr>
              <w:rFonts w:ascii="Cambria Math" w:hAnsi="Cambria Math" w:cs="Arial"/>
              <w:sz w:val="18"/>
              <w:szCs w:val="18"/>
            </w:rPr>
            <m:t>300=</m:t>
          </m:r>
          <m:f>
            <m:fPr>
              <m:ctrlPr>
                <w:rPr>
                  <w:rFonts w:ascii="Cambria Math" w:hAnsi="Cambria Math" w:cs="Arial"/>
                  <w:sz w:val="18"/>
                  <w:szCs w:val="18"/>
                </w:rPr>
              </m:ctrlPr>
            </m:fPr>
            <m:num>
              <m:nary>
                <m:naryPr>
                  <m:chr m:val="∑"/>
                  <m:limLoc m:val="undOvr"/>
                  <m:ctrlPr>
                    <w:rPr>
                      <w:rFonts w:ascii="Cambria Math" w:hAnsi="Cambria Math" w:cs="Arial"/>
                      <w:sz w:val="18"/>
                      <w:szCs w:val="18"/>
                    </w:rPr>
                  </m:ctrlPr>
                </m:naryPr>
                <m:sub>
                  <m:r>
                    <w:rPr>
                      <w:rFonts w:ascii="Cambria Math" w:hAnsi="Cambria Math" w:cs="Arial"/>
                      <w:sz w:val="18"/>
                      <w:szCs w:val="18"/>
                    </w:rPr>
                    <m:t>i</m:t>
                  </m:r>
                  <m:r>
                    <m:rPr>
                      <m:sty m:val="p"/>
                    </m:rPr>
                    <w:rPr>
                      <w:rFonts w:ascii="Cambria Math" w:hAnsi="Cambria Math" w:cs="Arial"/>
                      <w:sz w:val="18"/>
                      <w:szCs w:val="18"/>
                    </w:rPr>
                    <m:t>=1</m:t>
                  </m:r>
                </m:sub>
                <m:sup>
                  <m:r>
                    <w:rPr>
                      <w:rFonts w:ascii="Cambria Math" w:hAnsi="Cambria Math" w:cs="Arial"/>
                      <w:sz w:val="18"/>
                      <w:szCs w:val="18"/>
                    </w:rPr>
                    <m:t>n</m:t>
                  </m:r>
                </m:sup>
                <m:e>
                  <m:sSub>
                    <m:sSubPr>
                      <m:ctrlPr>
                        <w:rPr>
                          <w:rFonts w:ascii="Cambria Math" w:hAnsi="Cambria Math" w:cs="Arial"/>
                          <w:sz w:val="18"/>
                          <w:szCs w:val="18"/>
                        </w:rPr>
                      </m:ctrlPr>
                    </m:sSubPr>
                    <m:e>
                      <m:r>
                        <w:rPr>
                          <w:rFonts w:ascii="Cambria Math" w:hAnsi="Cambria Math" w:cs="Arial"/>
                          <w:sz w:val="18"/>
                          <w:szCs w:val="18"/>
                        </w:rPr>
                        <m:t>sci</m:t>
                      </m:r>
                    </m:e>
                    <m:sub>
                      <m:r>
                        <w:rPr>
                          <w:rFonts w:ascii="Cambria Math" w:hAnsi="Cambria Math" w:cs="Arial"/>
                          <w:sz w:val="18"/>
                          <w:szCs w:val="18"/>
                        </w:rPr>
                        <m:t>i</m:t>
                      </m:r>
                    </m:sub>
                  </m:sSub>
                </m:e>
              </m:nary>
            </m:num>
            <m:den>
              <m:r>
                <w:rPr>
                  <w:rFonts w:ascii="Cambria Math" w:hAnsi="Cambria Math" w:cs="Arial"/>
                  <w:sz w:val="18"/>
                  <w:szCs w:val="18"/>
                </w:rPr>
                <m:t>n</m:t>
              </m:r>
            </m:den>
          </m:f>
          <m:r>
            <m:rPr>
              <m:sty m:val="p"/>
            </m:rPr>
            <w:rPr>
              <w:rFonts w:ascii="Cambria Math" w:hAnsi="Cambria Math" w:cs="Arial"/>
              <w:sz w:val="18"/>
              <w:szCs w:val="18"/>
            </w:rPr>
            <m:t>+</m:t>
          </m:r>
          <m:r>
            <w:rPr>
              <w:rFonts w:ascii="Cambria Math" w:hAnsi="Cambria Math" w:cs="Arial"/>
              <w:sz w:val="18"/>
              <w:szCs w:val="18"/>
            </w:rPr>
            <m:t>Dsci</m:t>
          </m:r>
        </m:oMath>
      </m:oMathPara>
    </w:p>
    <w:p w14:paraId="64612764" w14:textId="77777777" w:rsidR="007B538E" w:rsidRPr="008367BC" w:rsidRDefault="007B538E" w:rsidP="007B538E">
      <w:pPr>
        <w:spacing w:after="120"/>
        <w:rPr>
          <w:rFonts w:ascii="Arial" w:hAnsi="Arial" w:cs="Arial"/>
          <w:sz w:val="18"/>
          <w:szCs w:val="18"/>
        </w:rPr>
      </w:pPr>
      <w:r w:rsidRPr="008367BC">
        <w:rPr>
          <w:rFonts w:ascii="Arial" w:hAnsi="Arial" w:cs="Arial"/>
          <w:sz w:val="18"/>
          <w:szCs w:val="18"/>
        </w:rPr>
        <w:t>gdzie:</w:t>
      </w:r>
    </w:p>
    <w:p w14:paraId="7E31012A" w14:textId="77777777" w:rsidR="007B538E" w:rsidRPr="008367BC" w:rsidRDefault="007B538E" w:rsidP="007B538E">
      <w:pPr>
        <w:tabs>
          <w:tab w:val="left" w:pos="851"/>
        </w:tabs>
        <w:spacing w:after="120"/>
        <w:rPr>
          <w:rFonts w:ascii="Arial" w:hAnsi="Arial" w:cs="Arial"/>
          <w:sz w:val="18"/>
          <w:szCs w:val="18"/>
        </w:rPr>
      </w:pPr>
      <w:r w:rsidRPr="008367BC">
        <w:rPr>
          <w:rFonts w:ascii="Arial" w:hAnsi="Arial" w:cs="Arial"/>
          <w:sz w:val="18"/>
          <w:szCs w:val="18"/>
        </w:rPr>
        <w:t>SCI300</w:t>
      </w:r>
      <w:r w:rsidRPr="008367BC">
        <w:rPr>
          <w:rFonts w:ascii="Arial" w:hAnsi="Arial" w:cs="Arial"/>
          <w:sz w:val="18"/>
          <w:szCs w:val="18"/>
        </w:rPr>
        <w:tab/>
        <w:t>miarodajny wskaźnik krzywizny ugięcia,</w:t>
      </w:r>
    </w:p>
    <w:p w14:paraId="3906A04B" w14:textId="77777777" w:rsidR="007B538E" w:rsidRPr="008367BC" w:rsidRDefault="007B538E" w:rsidP="007B538E">
      <w:pPr>
        <w:tabs>
          <w:tab w:val="left" w:pos="851"/>
        </w:tabs>
        <w:spacing w:after="120"/>
        <w:ind w:left="993" w:hanging="993"/>
        <w:rPr>
          <w:rFonts w:ascii="Arial" w:hAnsi="Arial" w:cs="Arial"/>
          <w:sz w:val="18"/>
          <w:szCs w:val="18"/>
        </w:rPr>
      </w:pPr>
      <w:proofErr w:type="spellStart"/>
      <w:r w:rsidRPr="008367BC">
        <w:rPr>
          <w:rFonts w:ascii="Arial" w:hAnsi="Arial" w:cs="Arial"/>
          <w:sz w:val="18"/>
          <w:szCs w:val="18"/>
        </w:rPr>
        <w:t>sci</w:t>
      </w:r>
      <w:proofErr w:type="spellEnd"/>
      <w:r w:rsidRPr="008367BC">
        <w:rPr>
          <w:rFonts w:ascii="Arial" w:hAnsi="Arial" w:cs="Arial"/>
          <w:sz w:val="18"/>
          <w:szCs w:val="18"/>
        </w:rPr>
        <w:tab/>
        <w:t>standaryzowana wartość pojedynczego pomiaru wskaźnika krzywizny ugięcia,</w:t>
      </w:r>
    </w:p>
    <w:p w14:paraId="4E4036C9" w14:textId="77777777" w:rsidR="007B538E" w:rsidRPr="008367BC" w:rsidRDefault="007B538E" w:rsidP="007B538E">
      <w:pPr>
        <w:tabs>
          <w:tab w:val="left" w:pos="851"/>
        </w:tabs>
        <w:spacing w:after="120"/>
        <w:rPr>
          <w:rFonts w:ascii="Arial" w:hAnsi="Arial" w:cs="Arial"/>
          <w:sz w:val="18"/>
          <w:szCs w:val="18"/>
        </w:rPr>
      </w:pPr>
      <w:r w:rsidRPr="008367BC">
        <w:rPr>
          <w:rFonts w:ascii="Arial" w:hAnsi="Arial" w:cs="Arial"/>
          <w:sz w:val="18"/>
          <w:szCs w:val="18"/>
        </w:rPr>
        <w:t>n</w:t>
      </w:r>
      <w:r w:rsidRPr="008367BC">
        <w:rPr>
          <w:rFonts w:ascii="Arial" w:hAnsi="Arial" w:cs="Arial"/>
          <w:sz w:val="18"/>
          <w:szCs w:val="18"/>
        </w:rPr>
        <w:tab/>
        <w:t>liczba ugięć standaryzowanych na odcinku.</w:t>
      </w:r>
    </w:p>
    <w:p w14:paraId="1082992F" w14:textId="77777777" w:rsidR="007B538E" w:rsidRPr="008367BC" w:rsidRDefault="007B538E" w:rsidP="007B538E">
      <w:pPr>
        <w:tabs>
          <w:tab w:val="left" w:pos="851"/>
        </w:tabs>
        <w:spacing w:after="120"/>
        <w:ind w:left="851" w:hanging="851"/>
        <w:rPr>
          <w:rFonts w:ascii="Arial" w:hAnsi="Arial" w:cs="Arial"/>
          <w:sz w:val="18"/>
          <w:szCs w:val="18"/>
        </w:rPr>
      </w:pPr>
      <w:proofErr w:type="spellStart"/>
      <w:r w:rsidRPr="008367BC">
        <w:rPr>
          <w:rFonts w:ascii="Arial" w:hAnsi="Arial" w:cs="Arial"/>
          <w:sz w:val="18"/>
          <w:szCs w:val="18"/>
        </w:rPr>
        <w:lastRenderedPageBreak/>
        <w:t>Dsci</w:t>
      </w:r>
      <w:proofErr w:type="spellEnd"/>
      <w:r w:rsidRPr="008367BC">
        <w:rPr>
          <w:rFonts w:ascii="Arial" w:hAnsi="Arial" w:cs="Arial"/>
          <w:sz w:val="18"/>
          <w:szCs w:val="18"/>
        </w:rPr>
        <w:tab/>
        <w:t>odchylenie standardowe standaryzowanych wartości pojedynczych pomiarów wskaźnika krzywizny ugięcia na odcinku miarodajnym.</w:t>
      </w:r>
    </w:p>
    <w:p w14:paraId="7D3B6395" w14:textId="77777777" w:rsidR="007B538E" w:rsidRPr="008367BC" w:rsidRDefault="007B538E" w:rsidP="007B538E">
      <w:pPr>
        <w:tabs>
          <w:tab w:val="left" w:pos="851"/>
        </w:tabs>
        <w:spacing w:after="120"/>
        <w:rPr>
          <w:rFonts w:ascii="Arial" w:hAnsi="Arial" w:cs="Arial"/>
          <w:sz w:val="18"/>
          <w:szCs w:val="18"/>
        </w:rPr>
      </w:pPr>
    </w:p>
    <w:p w14:paraId="6A683E37" w14:textId="77777777" w:rsidR="007B538E" w:rsidRPr="008367BC" w:rsidRDefault="007B538E" w:rsidP="007B538E">
      <w:pPr>
        <w:tabs>
          <w:tab w:val="left" w:pos="851"/>
        </w:tabs>
        <w:spacing w:after="120"/>
        <w:rPr>
          <w:rFonts w:ascii="Arial" w:hAnsi="Arial" w:cs="Arial"/>
          <w:sz w:val="18"/>
          <w:szCs w:val="18"/>
        </w:rPr>
      </w:pPr>
      <w:r w:rsidRPr="008367BC">
        <w:rPr>
          <w:rFonts w:ascii="Arial" w:hAnsi="Arial" w:cs="Arial"/>
          <w:sz w:val="18"/>
          <w:szCs w:val="18"/>
        </w:rPr>
        <w:t xml:space="preserve">Standaryzowana wartość pojedynczego pomiaru wskaźnika krzywizny ugięcia </w:t>
      </w:r>
      <w:proofErr w:type="spellStart"/>
      <w:r w:rsidRPr="008367BC">
        <w:rPr>
          <w:rFonts w:ascii="Arial" w:hAnsi="Arial" w:cs="Arial"/>
          <w:sz w:val="18"/>
          <w:szCs w:val="18"/>
        </w:rPr>
        <w:t>sci</w:t>
      </w:r>
      <w:proofErr w:type="spellEnd"/>
      <w:r w:rsidRPr="008367BC">
        <w:rPr>
          <w:rFonts w:ascii="Arial" w:hAnsi="Arial" w:cs="Arial"/>
          <w:sz w:val="18"/>
          <w:szCs w:val="18"/>
        </w:rPr>
        <w:t>:</w:t>
      </w:r>
    </w:p>
    <w:p w14:paraId="3C27C42F" w14:textId="77777777" w:rsidR="007B538E" w:rsidRPr="008367BC" w:rsidRDefault="007B538E" w:rsidP="007B538E">
      <w:pPr>
        <w:spacing w:after="120"/>
        <w:ind w:left="284"/>
        <w:jc w:val="center"/>
        <w:rPr>
          <w:rFonts w:ascii="Arial" w:hAnsi="Arial" w:cs="Arial"/>
          <w:sz w:val="18"/>
          <w:szCs w:val="18"/>
        </w:rPr>
      </w:pPr>
      <w:proofErr w:type="spellStart"/>
      <w:r w:rsidRPr="008367BC">
        <w:rPr>
          <w:rFonts w:ascii="Arial" w:hAnsi="Arial" w:cs="Arial"/>
          <w:sz w:val="18"/>
          <w:szCs w:val="18"/>
        </w:rPr>
        <w:t>sci</w:t>
      </w:r>
      <w:proofErr w:type="spellEnd"/>
      <w:r w:rsidRPr="008367BC">
        <w:rPr>
          <w:rFonts w:ascii="Arial" w:hAnsi="Arial" w:cs="Arial"/>
          <w:sz w:val="18"/>
          <w:szCs w:val="18"/>
        </w:rPr>
        <w:t xml:space="preserve"> = D0 - D300</w:t>
      </w:r>
    </w:p>
    <w:p w14:paraId="5C9E10BF" w14:textId="77777777" w:rsidR="007B538E" w:rsidRPr="008367BC" w:rsidRDefault="007B538E" w:rsidP="007B538E">
      <w:pPr>
        <w:spacing w:after="120"/>
        <w:jc w:val="both"/>
        <w:rPr>
          <w:rFonts w:ascii="Arial" w:hAnsi="Arial" w:cs="Arial"/>
          <w:sz w:val="18"/>
          <w:szCs w:val="18"/>
        </w:rPr>
      </w:pPr>
      <w:r w:rsidRPr="008367BC">
        <w:rPr>
          <w:rFonts w:ascii="Arial" w:hAnsi="Arial" w:cs="Arial"/>
          <w:sz w:val="18"/>
          <w:szCs w:val="18"/>
        </w:rPr>
        <w:t xml:space="preserve">gdzie: </w:t>
      </w:r>
    </w:p>
    <w:p w14:paraId="36F548C7" w14:textId="77777777" w:rsidR="007B538E" w:rsidRPr="008367BC" w:rsidRDefault="007B538E" w:rsidP="007B538E">
      <w:pPr>
        <w:tabs>
          <w:tab w:val="left" w:pos="851"/>
        </w:tabs>
        <w:spacing w:after="120"/>
        <w:rPr>
          <w:rFonts w:ascii="Arial" w:hAnsi="Arial" w:cs="Arial"/>
          <w:sz w:val="18"/>
          <w:szCs w:val="18"/>
        </w:rPr>
      </w:pPr>
      <w:r w:rsidRPr="008367BC">
        <w:rPr>
          <w:rFonts w:ascii="Arial" w:hAnsi="Arial" w:cs="Arial"/>
          <w:sz w:val="18"/>
          <w:szCs w:val="18"/>
        </w:rPr>
        <w:t>D0</w:t>
      </w:r>
      <w:r w:rsidRPr="008367BC">
        <w:rPr>
          <w:rFonts w:ascii="Arial" w:hAnsi="Arial" w:cs="Arial"/>
          <w:sz w:val="18"/>
          <w:szCs w:val="18"/>
        </w:rPr>
        <w:tab/>
        <w:t>ugięcie w punkcie centralnym,</w:t>
      </w:r>
    </w:p>
    <w:p w14:paraId="7AF5C884" w14:textId="77777777" w:rsidR="007B538E" w:rsidRPr="008367BC" w:rsidRDefault="007B538E" w:rsidP="007B538E">
      <w:pPr>
        <w:tabs>
          <w:tab w:val="left" w:pos="851"/>
        </w:tabs>
        <w:spacing w:after="120"/>
        <w:rPr>
          <w:rFonts w:ascii="Arial" w:hAnsi="Arial" w:cs="Arial"/>
          <w:sz w:val="18"/>
          <w:szCs w:val="18"/>
        </w:rPr>
      </w:pPr>
      <w:r w:rsidRPr="008367BC">
        <w:rPr>
          <w:rFonts w:ascii="Arial" w:hAnsi="Arial" w:cs="Arial"/>
          <w:sz w:val="18"/>
          <w:szCs w:val="18"/>
        </w:rPr>
        <w:t>D300</w:t>
      </w:r>
      <w:r w:rsidRPr="008367BC">
        <w:rPr>
          <w:rFonts w:ascii="Arial" w:hAnsi="Arial" w:cs="Arial"/>
          <w:sz w:val="18"/>
          <w:szCs w:val="18"/>
        </w:rPr>
        <w:tab/>
        <w:t>ugięcie w punkcie oddalonym o 300 mm od punktu centralnego.</w:t>
      </w:r>
    </w:p>
    <w:p w14:paraId="421A6212" w14:textId="77777777" w:rsidR="007B538E" w:rsidRPr="008367BC" w:rsidRDefault="007B538E" w:rsidP="007B538E">
      <w:pPr>
        <w:spacing w:after="120"/>
        <w:jc w:val="both"/>
        <w:rPr>
          <w:rFonts w:ascii="Arial" w:hAnsi="Arial" w:cs="Arial"/>
          <w:sz w:val="18"/>
          <w:szCs w:val="18"/>
        </w:rPr>
      </w:pPr>
      <w:r w:rsidRPr="008367BC">
        <w:rPr>
          <w:rFonts w:ascii="Arial" w:hAnsi="Arial" w:cs="Arial"/>
          <w:sz w:val="18"/>
          <w:szCs w:val="18"/>
        </w:rPr>
        <w:t>Wynik obliczeń zaokrągla się zgodnie z ogólnymi zasadami.</w:t>
      </w:r>
    </w:p>
    <w:p w14:paraId="09311898" w14:textId="77777777" w:rsidR="007B538E" w:rsidRPr="008367BC" w:rsidRDefault="007B538E" w:rsidP="007B538E">
      <w:pPr>
        <w:spacing w:after="120"/>
        <w:jc w:val="both"/>
        <w:rPr>
          <w:rFonts w:ascii="Arial" w:hAnsi="Arial" w:cs="Arial"/>
          <w:sz w:val="18"/>
          <w:szCs w:val="18"/>
        </w:rPr>
      </w:pPr>
      <w:r w:rsidRPr="008367BC">
        <w:rPr>
          <w:rFonts w:ascii="Arial" w:hAnsi="Arial" w:cs="Arial"/>
          <w:sz w:val="18"/>
          <w:szCs w:val="18"/>
        </w:rPr>
        <w:t>W przypadkach szczególnych (wystąpienie uszkodzeń nawierzchni typu: spękania, koleiny, nierówności czy też przekroczenie wymaganych wartości przez którykolwiek ze wskaźników) dopuszcza się przeprowadzenie dokładnych analiz i badań w oparciu o dane szczegółowe (grubości warstw konstrukcji, ilości osi obliczeniowych itp.) w celu wyznaczenia rzeczywistej pozostałej trwałości zmęczeniowej nawierzchni.</w:t>
      </w:r>
    </w:p>
    <w:p w14:paraId="3B8940B5" w14:textId="77777777" w:rsidR="007B538E" w:rsidRPr="008367BC" w:rsidRDefault="007B538E" w:rsidP="007B538E">
      <w:pPr>
        <w:spacing w:after="120"/>
        <w:jc w:val="both"/>
        <w:rPr>
          <w:rFonts w:ascii="Arial" w:hAnsi="Arial" w:cs="Arial"/>
          <w:sz w:val="18"/>
          <w:szCs w:val="18"/>
        </w:rPr>
      </w:pPr>
    </w:p>
    <w:p w14:paraId="1B843028" w14:textId="77777777" w:rsidR="007B538E" w:rsidRPr="008367BC" w:rsidRDefault="007B538E" w:rsidP="007B538E">
      <w:pPr>
        <w:pStyle w:val="Nagwek2"/>
        <w:keepLines w:val="0"/>
        <w:numPr>
          <w:ilvl w:val="0"/>
          <w:numId w:val="4"/>
        </w:numPr>
        <w:spacing w:before="0" w:after="120"/>
        <w:ind w:left="284" w:hanging="284"/>
        <w:rPr>
          <w:rFonts w:cs="Arial"/>
          <w:sz w:val="18"/>
          <w:szCs w:val="18"/>
        </w:rPr>
      </w:pPr>
      <w:bookmarkStart w:id="2" w:name="_Toc477867189"/>
      <w:r w:rsidRPr="008367BC">
        <w:rPr>
          <w:rFonts w:cs="Arial"/>
          <w:sz w:val="18"/>
          <w:szCs w:val="18"/>
        </w:rPr>
        <w:t>OZNAKOWANIE DRÓG</w:t>
      </w:r>
      <w:bookmarkEnd w:id="2"/>
    </w:p>
    <w:p w14:paraId="39381E30" w14:textId="77777777" w:rsidR="007B538E" w:rsidRPr="008367BC" w:rsidRDefault="007B538E" w:rsidP="007B538E">
      <w:pPr>
        <w:numPr>
          <w:ilvl w:val="1"/>
          <w:numId w:val="4"/>
        </w:numPr>
        <w:spacing w:after="120"/>
        <w:ind w:left="567" w:hanging="567"/>
        <w:rPr>
          <w:rFonts w:ascii="Arial" w:hAnsi="Arial" w:cs="Arial"/>
          <w:b/>
          <w:sz w:val="18"/>
          <w:szCs w:val="18"/>
        </w:rPr>
      </w:pPr>
      <w:bookmarkStart w:id="3" w:name="_Toc477867190"/>
      <w:r w:rsidRPr="008367BC">
        <w:rPr>
          <w:rFonts w:ascii="Arial" w:hAnsi="Arial" w:cs="Arial"/>
          <w:b/>
          <w:sz w:val="18"/>
          <w:szCs w:val="18"/>
        </w:rPr>
        <w:t>Oznakowanie poziome</w:t>
      </w:r>
      <w:bookmarkEnd w:id="3"/>
    </w:p>
    <w:p w14:paraId="38EADEFF" w14:textId="77777777" w:rsidR="007B538E" w:rsidRPr="008367BC" w:rsidRDefault="007B538E" w:rsidP="007B538E">
      <w:pPr>
        <w:numPr>
          <w:ilvl w:val="0"/>
          <w:numId w:val="5"/>
        </w:numPr>
        <w:spacing w:after="120"/>
        <w:jc w:val="both"/>
        <w:rPr>
          <w:rFonts w:ascii="Arial" w:hAnsi="Arial" w:cs="Arial"/>
          <w:sz w:val="18"/>
          <w:szCs w:val="18"/>
        </w:rPr>
      </w:pPr>
      <w:r w:rsidRPr="008367BC">
        <w:rPr>
          <w:rFonts w:ascii="Arial" w:hAnsi="Arial" w:cs="Arial"/>
          <w:sz w:val="18"/>
          <w:szCs w:val="18"/>
        </w:rPr>
        <w:t>oznakowanie cienkowarstwowe – 1 rok</w:t>
      </w:r>
    </w:p>
    <w:p w14:paraId="2579A206" w14:textId="77777777" w:rsidR="007B538E" w:rsidRPr="008367BC" w:rsidRDefault="007B538E" w:rsidP="007B538E">
      <w:pPr>
        <w:numPr>
          <w:ilvl w:val="0"/>
          <w:numId w:val="5"/>
        </w:numPr>
        <w:spacing w:after="120"/>
        <w:jc w:val="both"/>
        <w:rPr>
          <w:rFonts w:ascii="Arial" w:hAnsi="Arial" w:cs="Arial"/>
          <w:sz w:val="18"/>
          <w:szCs w:val="18"/>
        </w:rPr>
      </w:pPr>
      <w:r w:rsidRPr="008367BC">
        <w:rPr>
          <w:rFonts w:ascii="Arial" w:hAnsi="Arial" w:cs="Arial"/>
          <w:sz w:val="18"/>
          <w:szCs w:val="18"/>
        </w:rPr>
        <w:t>oznakowanie grubowarstwowe:</w:t>
      </w:r>
    </w:p>
    <w:p w14:paraId="46497B4C" w14:textId="77777777" w:rsidR="007B538E" w:rsidRPr="008367BC" w:rsidRDefault="007B538E" w:rsidP="007B538E">
      <w:pPr>
        <w:spacing w:after="120"/>
        <w:ind w:left="720"/>
        <w:jc w:val="both"/>
        <w:rPr>
          <w:rFonts w:ascii="Arial" w:hAnsi="Arial" w:cs="Arial"/>
          <w:sz w:val="18"/>
          <w:szCs w:val="18"/>
        </w:rPr>
      </w:pPr>
      <w:r w:rsidRPr="008367BC">
        <w:rPr>
          <w:rFonts w:ascii="Arial" w:hAnsi="Arial" w:cs="Arial"/>
          <w:sz w:val="18"/>
          <w:szCs w:val="18"/>
        </w:rPr>
        <w:t xml:space="preserve">- chemoutwardzalne oraz chemoutwardzalne i termoplastyczne do natrysku - 3 lata gwarancji, </w:t>
      </w:r>
    </w:p>
    <w:p w14:paraId="0C0BF884" w14:textId="77777777" w:rsidR="007B538E" w:rsidRPr="008367BC" w:rsidRDefault="007B538E" w:rsidP="007B538E">
      <w:pPr>
        <w:spacing w:after="120"/>
        <w:ind w:left="720"/>
        <w:jc w:val="both"/>
        <w:rPr>
          <w:rFonts w:ascii="Arial" w:hAnsi="Arial" w:cs="Arial"/>
          <w:sz w:val="18"/>
          <w:szCs w:val="18"/>
        </w:rPr>
      </w:pPr>
      <w:r w:rsidRPr="008367BC">
        <w:rPr>
          <w:rFonts w:ascii="Arial" w:hAnsi="Arial" w:cs="Arial"/>
          <w:sz w:val="18"/>
          <w:szCs w:val="18"/>
        </w:rPr>
        <w:t xml:space="preserve">- masa chemoutwardzalna do nakładania, odblaskowa taśma prefabrykowana przyklejana na podkład – 4 lata gwarancji, </w:t>
      </w:r>
    </w:p>
    <w:p w14:paraId="424994A1" w14:textId="77777777" w:rsidR="007B538E" w:rsidRPr="008367BC" w:rsidRDefault="007B538E" w:rsidP="007B538E">
      <w:pPr>
        <w:spacing w:after="120"/>
        <w:ind w:left="720"/>
        <w:jc w:val="both"/>
        <w:rPr>
          <w:rFonts w:ascii="Arial" w:hAnsi="Arial" w:cs="Arial"/>
          <w:sz w:val="18"/>
          <w:szCs w:val="18"/>
        </w:rPr>
      </w:pPr>
      <w:r w:rsidRPr="008367BC">
        <w:rPr>
          <w:rFonts w:ascii="Arial" w:hAnsi="Arial" w:cs="Arial"/>
          <w:sz w:val="18"/>
          <w:szCs w:val="18"/>
        </w:rPr>
        <w:t>- masa termoplastyczna do nakładania, odblaskowa taśma prefabrykowana wbudowana w nową warstwę ścieralną w ostatnim cyklu wałowania – 5 lat gwarancji.</w:t>
      </w:r>
    </w:p>
    <w:p w14:paraId="1BD7B291" w14:textId="77777777" w:rsidR="007B538E" w:rsidRPr="008367BC" w:rsidRDefault="007B538E" w:rsidP="007B538E">
      <w:pPr>
        <w:spacing w:after="120"/>
        <w:ind w:left="720"/>
        <w:jc w:val="both"/>
        <w:rPr>
          <w:rFonts w:ascii="Arial" w:hAnsi="Arial" w:cs="Arial"/>
          <w:sz w:val="18"/>
          <w:szCs w:val="18"/>
        </w:rPr>
      </w:pPr>
    </w:p>
    <w:p w14:paraId="3CEA227E" w14:textId="77777777" w:rsidR="007B538E" w:rsidRPr="008367BC" w:rsidRDefault="007B538E" w:rsidP="007B538E">
      <w:pPr>
        <w:numPr>
          <w:ilvl w:val="1"/>
          <w:numId w:val="4"/>
        </w:numPr>
        <w:spacing w:after="120"/>
        <w:ind w:left="567" w:hanging="567"/>
        <w:rPr>
          <w:rFonts w:ascii="Arial" w:hAnsi="Arial" w:cs="Arial"/>
          <w:b/>
          <w:sz w:val="18"/>
          <w:szCs w:val="18"/>
        </w:rPr>
      </w:pPr>
      <w:bookmarkStart w:id="4" w:name="_Toc477867191"/>
      <w:r w:rsidRPr="008367BC">
        <w:rPr>
          <w:rFonts w:ascii="Arial" w:hAnsi="Arial" w:cs="Arial"/>
          <w:b/>
          <w:sz w:val="18"/>
          <w:szCs w:val="18"/>
        </w:rPr>
        <w:t>Oznakowanie pionowe</w:t>
      </w:r>
      <w:bookmarkEnd w:id="4"/>
    </w:p>
    <w:p w14:paraId="7D3A0FFD" w14:textId="77777777" w:rsidR="007B538E" w:rsidRPr="008367BC" w:rsidRDefault="007B538E" w:rsidP="007B538E">
      <w:pPr>
        <w:spacing w:after="120"/>
        <w:ind w:firstLine="708"/>
        <w:jc w:val="both"/>
        <w:rPr>
          <w:rFonts w:ascii="Arial" w:hAnsi="Arial" w:cs="Arial"/>
          <w:sz w:val="18"/>
          <w:szCs w:val="18"/>
        </w:rPr>
      </w:pPr>
      <w:r w:rsidRPr="008367BC">
        <w:rPr>
          <w:rFonts w:ascii="Arial" w:hAnsi="Arial" w:cs="Arial"/>
          <w:sz w:val="18"/>
          <w:szCs w:val="18"/>
        </w:rPr>
        <w:t>Okres Gwarancji Jakości dla:</w:t>
      </w:r>
    </w:p>
    <w:p w14:paraId="37846368" w14:textId="77777777" w:rsidR="007B538E" w:rsidRPr="008367BC" w:rsidRDefault="007B538E" w:rsidP="007B538E">
      <w:pPr>
        <w:numPr>
          <w:ilvl w:val="0"/>
          <w:numId w:val="16"/>
        </w:numPr>
        <w:spacing w:after="120"/>
        <w:ind w:left="993" w:hanging="284"/>
        <w:jc w:val="both"/>
        <w:rPr>
          <w:rFonts w:ascii="Arial" w:hAnsi="Arial" w:cs="Arial"/>
          <w:sz w:val="18"/>
          <w:szCs w:val="18"/>
        </w:rPr>
      </w:pPr>
      <w:r w:rsidRPr="008367BC">
        <w:rPr>
          <w:rFonts w:ascii="Arial" w:hAnsi="Arial" w:cs="Arial"/>
          <w:sz w:val="18"/>
          <w:szCs w:val="18"/>
        </w:rPr>
        <w:t>oznakowania pionowego (folia II typu i pryzmatyczna) – 10 lat,</w:t>
      </w:r>
    </w:p>
    <w:p w14:paraId="6CE6686B" w14:textId="77777777" w:rsidR="007B538E" w:rsidRPr="008367BC" w:rsidRDefault="007B538E" w:rsidP="007B538E">
      <w:pPr>
        <w:numPr>
          <w:ilvl w:val="0"/>
          <w:numId w:val="16"/>
        </w:numPr>
        <w:spacing w:after="120"/>
        <w:ind w:left="993" w:hanging="284"/>
        <w:jc w:val="both"/>
        <w:rPr>
          <w:rFonts w:ascii="Arial" w:hAnsi="Arial" w:cs="Arial"/>
          <w:sz w:val="18"/>
          <w:szCs w:val="18"/>
        </w:rPr>
      </w:pPr>
      <w:r w:rsidRPr="008367BC">
        <w:rPr>
          <w:rFonts w:ascii="Arial" w:hAnsi="Arial" w:cs="Arial"/>
          <w:sz w:val="18"/>
          <w:szCs w:val="18"/>
        </w:rPr>
        <w:t>oznakowania pionowego (folia I typu) – 7 lat.</w:t>
      </w:r>
    </w:p>
    <w:p w14:paraId="5E40B054" w14:textId="77777777" w:rsidR="007B538E" w:rsidRPr="008367BC" w:rsidRDefault="007B538E" w:rsidP="007B538E">
      <w:pPr>
        <w:numPr>
          <w:ilvl w:val="0"/>
          <w:numId w:val="16"/>
        </w:numPr>
        <w:spacing w:after="120"/>
        <w:ind w:left="993" w:hanging="284"/>
        <w:jc w:val="both"/>
        <w:rPr>
          <w:rFonts w:ascii="Arial" w:hAnsi="Arial" w:cs="Arial"/>
          <w:sz w:val="18"/>
          <w:szCs w:val="18"/>
        </w:rPr>
      </w:pPr>
      <w:r w:rsidRPr="008367BC">
        <w:rPr>
          <w:rFonts w:ascii="Arial" w:hAnsi="Arial" w:cs="Arial"/>
          <w:sz w:val="18"/>
          <w:szCs w:val="18"/>
        </w:rPr>
        <w:t>znaki zmiennej treści – 5 lat</w:t>
      </w:r>
    </w:p>
    <w:p w14:paraId="72B9703D" w14:textId="77777777" w:rsidR="007B538E" w:rsidRPr="008367BC" w:rsidRDefault="007B538E" w:rsidP="007B538E">
      <w:pPr>
        <w:spacing w:after="120"/>
        <w:ind w:left="993"/>
        <w:jc w:val="both"/>
        <w:rPr>
          <w:rFonts w:ascii="Arial" w:hAnsi="Arial" w:cs="Arial"/>
          <w:sz w:val="18"/>
          <w:szCs w:val="18"/>
        </w:rPr>
      </w:pPr>
    </w:p>
    <w:p w14:paraId="4F13B950" w14:textId="77777777" w:rsidR="007B538E" w:rsidRPr="008367BC" w:rsidRDefault="007B538E" w:rsidP="007B538E">
      <w:pPr>
        <w:numPr>
          <w:ilvl w:val="1"/>
          <w:numId w:val="4"/>
        </w:numPr>
        <w:spacing w:after="120"/>
        <w:ind w:left="567" w:hanging="567"/>
        <w:rPr>
          <w:rFonts w:ascii="Arial" w:hAnsi="Arial" w:cs="Arial"/>
          <w:b/>
          <w:sz w:val="18"/>
          <w:szCs w:val="18"/>
        </w:rPr>
      </w:pPr>
      <w:bookmarkStart w:id="5" w:name="_Toc477867192"/>
      <w:r w:rsidRPr="008367BC">
        <w:rPr>
          <w:rFonts w:ascii="Arial" w:hAnsi="Arial" w:cs="Arial"/>
          <w:b/>
          <w:sz w:val="18"/>
          <w:szCs w:val="18"/>
        </w:rPr>
        <w:t>Inne urządzenia BRD</w:t>
      </w:r>
      <w:bookmarkEnd w:id="5"/>
    </w:p>
    <w:p w14:paraId="42B9144B" w14:textId="77777777" w:rsidR="007B538E" w:rsidRPr="008367BC" w:rsidRDefault="007B538E" w:rsidP="007B538E">
      <w:pPr>
        <w:spacing w:after="120"/>
        <w:ind w:left="709"/>
        <w:jc w:val="both"/>
        <w:rPr>
          <w:rFonts w:ascii="Arial" w:hAnsi="Arial" w:cs="Arial"/>
          <w:sz w:val="18"/>
          <w:szCs w:val="18"/>
        </w:rPr>
      </w:pPr>
      <w:r w:rsidRPr="008367BC">
        <w:rPr>
          <w:rFonts w:ascii="Arial" w:hAnsi="Arial" w:cs="Arial"/>
          <w:sz w:val="18"/>
          <w:szCs w:val="18"/>
        </w:rPr>
        <w:t>Okres Gwarancji Jakości dla:</w:t>
      </w:r>
    </w:p>
    <w:p w14:paraId="514C601B" w14:textId="77777777" w:rsidR="007B538E" w:rsidRPr="008367BC" w:rsidRDefault="007B538E" w:rsidP="007B538E">
      <w:pPr>
        <w:numPr>
          <w:ilvl w:val="0"/>
          <w:numId w:val="17"/>
        </w:numPr>
        <w:spacing w:after="120"/>
        <w:ind w:left="993" w:hanging="284"/>
        <w:jc w:val="both"/>
        <w:rPr>
          <w:rFonts w:ascii="Arial" w:hAnsi="Arial" w:cs="Arial"/>
          <w:sz w:val="18"/>
          <w:szCs w:val="18"/>
        </w:rPr>
      </w:pPr>
      <w:r w:rsidRPr="008367BC">
        <w:rPr>
          <w:rFonts w:ascii="Arial" w:hAnsi="Arial" w:cs="Arial"/>
          <w:sz w:val="18"/>
          <w:szCs w:val="18"/>
        </w:rPr>
        <w:t>słupki U-1 wraz z U-8 – 18 miesięcy,</w:t>
      </w:r>
    </w:p>
    <w:p w14:paraId="7A0FC3FF" w14:textId="77777777" w:rsidR="007B538E" w:rsidRPr="008367BC" w:rsidRDefault="007B538E" w:rsidP="007B538E">
      <w:pPr>
        <w:numPr>
          <w:ilvl w:val="0"/>
          <w:numId w:val="17"/>
        </w:numPr>
        <w:spacing w:after="120"/>
        <w:ind w:left="993" w:hanging="284"/>
        <w:jc w:val="both"/>
        <w:rPr>
          <w:rFonts w:ascii="Arial" w:hAnsi="Arial" w:cs="Arial"/>
          <w:sz w:val="18"/>
          <w:szCs w:val="18"/>
        </w:rPr>
      </w:pPr>
      <w:r w:rsidRPr="008367BC">
        <w:rPr>
          <w:rFonts w:ascii="Arial" w:hAnsi="Arial" w:cs="Arial"/>
          <w:sz w:val="18"/>
          <w:szCs w:val="18"/>
        </w:rPr>
        <w:t>drogowe bariery ochronne – 5 lat,</w:t>
      </w:r>
    </w:p>
    <w:p w14:paraId="49DF05D2" w14:textId="77777777" w:rsidR="007B538E" w:rsidRPr="008367BC" w:rsidRDefault="007B538E" w:rsidP="007B538E">
      <w:pPr>
        <w:numPr>
          <w:ilvl w:val="0"/>
          <w:numId w:val="17"/>
        </w:numPr>
        <w:spacing w:after="120"/>
        <w:ind w:left="993" w:hanging="284"/>
        <w:jc w:val="both"/>
        <w:rPr>
          <w:rFonts w:ascii="Arial" w:hAnsi="Arial" w:cs="Arial"/>
          <w:sz w:val="18"/>
          <w:szCs w:val="18"/>
        </w:rPr>
      </w:pPr>
      <w:r w:rsidRPr="008367BC">
        <w:rPr>
          <w:rFonts w:ascii="Arial" w:hAnsi="Arial" w:cs="Arial"/>
          <w:sz w:val="18"/>
          <w:szCs w:val="18"/>
        </w:rPr>
        <w:t>osłony energochłonne i zabezpieczające – 5 lat,</w:t>
      </w:r>
    </w:p>
    <w:p w14:paraId="0BEF309E" w14:textId="77777777" w:rsidR="007B538E" w:rsidRPr="008367BC" w:rsidRDefault="007B538E" w:rsidP="007B538E">
      <w:pPr>
        <w:numPr>
          <w:ilvl w:val="0"/>
          <w:numId w:val="17"/>
        </w:numPr>
        <w:spacing w:after="120"/>
        <w:ind w:left="993" w:hanging="284"/>
        <w:jc w:val="both"/>
        <w:rPr>
          <w:rFonts w:ascii="Arial" w:hAnsi="Arial" w:cs="Arial"/>
          <w:sz w:val="18"/>
          <w:szCs w:val="18"/>
        </w:rPr>
      </w:pPr>
      <w:r w:rsidRPr="008367BC">
        <w:rPr>
          <w:rFonts w:ascii="Arial" w:hAnsi="Arial" w:cs="Arial"/>
          <w:sz w:val="18"/>
          <w:szCs w:val="18"/>
        </w:rPr>
        <w:t>urządzenia sygnalizacji wraz z konstrukcją – 5 lat,</w:t>
      </w:r>
    </w:p>
    <w:p w14:paraId="7228E361" w14:textId="77777777" w:rsidR="007B538E" w:rsidRPr="008367BC" w:rsidRDefault="007B538E" w:rsidP="007B538E">
      <w:pPr>
        <w:numPr>
          <w:ilvl w:val="0"/>
          <w:numId w:val="17"/>
        </w:numPr>
        <w:spacing w:after="120"/>
        <w:ind w:left="993" w:hanging="284"/>
        <w:jc w:val="both"/>
        <w:rPr>
          <w:rFonts w:ascii="Arial" w:hAnsi="Arial" w:cs="Arial"/>
          <w:sz w:val="18"/>
          <w:szCs w:val="18"/>
        </w:rPr>
      </w:pPr>
      <w:r w:rsidRPr="008367BC">
        <w:rPr>
          <w:rFonts w:ascii="Arial" w:hAnsi="Arial" w:cs="Arial"/>
          <w:sz w:val="18"/>
          <w:szCs w:val="18"/>
        </w:rPr>
        <w:t>urządzenia zabezpieczające ruch pieszych i rowerzystów – 5 lat.</w:t>
      </w:r>
    </w:p>
    <w:p w14:paraId="25A7F31B" w14:textId="77777777" w:rsidR="007B538E" w:rsidRPr="008367BC" w:rsidRDefault="007B538E" w:rsidP="007B538E">
      <w:pPr>
        <w:numPr>
          <w:ilvl w:val="0"/>
          <w:numId w:val="17"/>
        </w:numPr>
        <w:spacing w:after="120"/>
        <w:ind w:left="993" w:hanging="284"/>
        <w:jc w:val="both"/>
        <w:rPr>
          <w:rFonts w:ascii="Arial" w:hAnsi="Arial" w:cs="Arial"/>
          <w:sz w:val="18"/>
          <w:szCs w:val="18"/>
        </w:rPr>
      </w:pPr>
      <w:r w:rsidRPr="008367BC">
        <w:rPr>
          <w:rFonts w:ascii="Arial" w:hAnsi="Arial" w:cs="Arial"/>
          <w:sz w:val="18"/>
          <w:szCs w:val="18"/>
        </w:rPr>
        <w:t>pozostałe urządzenia BRD - 5 lat.</w:t>
      </w:r>
    </w:p>
    <w:p w14:paraId="372617D2" w14:textId="77777777" w:rsidR="007B538E" w:rsidRPr="008367BC" w:rsidRDefault="007B538E" w:rsidP="007B538E">
      <w:pPr>
        <w:spacing w:after="120"/>
        <w:jc w:val="both"/>
        <w:rPr>
          <w:rFonts w:ascii="Arial" w:hAnsi="Arial" w:cs="Arial"/>
          <w:sz w:val="18"/>
          <w:szCs w:val="18"/>
        </w:rPr>
      </w:pPr>
    </w:p>
    <w:p w14:paraId="4B6C91EE" w14:textId="77777777" w:rsidR="007B538E" w:rsidRPr="008367BC" w:rsidRDefault="007B538E" w:rsidP="007B538E">
      <w:pPr>
        <w:numPr>
          <w:ilvl w:val="1"/>
          <w:numId w:val="4"/>
        </w:numPr>
        <w:spacing w:after="120"/>
        <w:ind w:left="567" w:hanging="567"/>
        <w:rPr>
          <w:rFonts w:ascii="Arial" w:hAnsi="Arial" w:cs="Arial"/>
          <w:b/>
          <w:sz w:val="18"/>
          <w:szCs w:val="18"/>
        </w:rPr>
      </w:pPr>
      <w:bookmarkStart w:id="6" w:name="_Toc477867193"/>
      <w:r w:rsidRPr="008367BC">
        <w:rPr>
          <w:rFonts w:ascii="Arial" w:hAnsi="Arial" w:cs="Arial"/>
          <w:b/>
          <w:sz w:val="18"/>
          <w:szCs w:val="18"/>
        </w:rPr>
        <w:t>Kontrola elementów oznakowania poziomego i pionowego</w:t>
      </w:r>
      <w:bookmarkEnd w:id="6"/>
    </w:p>
    <w:p w14:paraId="1F272B9C" w14:textId="77777777" w:rsidR="007B538E" w:rsidRPr="008367BC" w:rsidRDefault="007B538E" w:rsidP="007B538E">
      <w:pPr>
        <w:spacing w:after="120"/>
        <w:ind w:left="567"/>
        <w:rPr>
          <w:rFonts w:ascii="Arial" w:hAnsi="Arial" w:cs="Arial"/>
          <w:b/>
          <w:sz w:val="18"/>
          <w:szCs w:val="18"/>
        </w:rPr>
      </w:pPr>
    </w:p>
    <w:p w14:paraId="3CC0B279" w14:textId="77777777" w:rsidR="007B538E" w:rsidRPr="008367BC" w:rsidRDefault="007B538E" w:rsidP="007B538E">
      <w:pPr>
        <w:numPr>
          <w:ilvl w:val="2"/>
          <w:numId w:val="4"/>
        </w:numPr>
        <w:spacing w:after="120"/>
        <w:ind w:left="709" w:hanging="709"/>
        <w:jc w:val="both"/>
        <w:rPr>
          <w:rFonts w:ascii="Arial" w:hAnsi="Arial" w:cs="Arial"/>
          <w:sz w:val="18"/>
          <w:szCs w:val="18"/>
        </w:rPr>
      </w:pPr>
      <w:r w:rsidRPr="008367BC">
        <w:rPr>
          <w:rFonts w:ascii="Arial" w:hAnsi="Arial" w:cs="Arial"/>
          <w:sz w:val="18"/>
          <w:szCs w:val="18"/>
        </w:rPr>
        <w:t>Kontrola elementów oznakowania poziomego i pionowego odbywać się będzie w oparciu o zapisy Rozporządzeniu Ministra Infrastruktury z dnia 3 lipca 2003 r. w sprawie szczegółowych warunków technicznych dla znaków i sygnałów drogowych oraz urządzeń bezpieczeństwa ruchu drogowego i warunków ich umieszczania na drogach  (Dz. U. Nr 220, poz. 2181, z późniejszymi zmianami.).</w:t>
      </w:r>
    </w:p>
    <w:p w14:paraId="478BABA4" w14:textId="77777777" w:rsidR="007B538E" w:rsidRPr="008367BC" w:rsidRDefault="007B538E" w:rsidP="007B538E">
      <w:pPr>
        <w:spacing w:after="120"/>
        <w:ind w:left="709"/>
        <w:jc w:val="both"/>
        <w:rPr>
          <w:rFonts w:ascii="Arial" w:hAnsi="Arial" w:cs="Arial"/>
          <w:sz w:val="18"/>
          <w:szCs w:val="18"/>
        </w:rPr>
      </w:pPr>
    </w:p>
    <w:p w14:paraId="54448AB1" w14:textId="77777777" w:rsidR="007B538E" w:rsidRPr="008367BC" w:rsidRDefault="007B538E" w:rsidP="007B538E">
      <w:pPr>
        <w:numPr>
          <w:ilvl w:val="2"/>
          <w:numId w:val="4"/>
        </w:numPr>
        <w:spacing w:after="120"/>
        <w:ind w:left="709" w:hanging="709"/>
        <w:jc w:val="both"/>
        <w:rPr>
          <w:rFonts w:ascii="Arial" w:hAnsi="Arial" w:cs="Arial"/>
          <w:sz w:val="18"/>
          <w:szCs w:val="18"/>
        </w:rPr>
      </w:pPr>
      <w:r w:rsidRPr="008367BC">
        <w:rPr>
          <w:rFonts w:ascii="Arial" w:hAnsi="Arial" w:cs="Arial"/>
          <w:sz w:val="18"/>
          <w:szCs w:val="18"/>
        </w:rPr>
        <w:lastRenderedPageBreak/>
        <w:t>Wszystkie elementy oznakowania poziomego i pionowego powinny zachować trwałość   i utrzymanie wymaganych parametrów (takich, jak widoczność, odblaskowość) zgodnie z dokumentem odniesienia wymienionym w powyższym punkcie 3.3.1 w całym okresie przewidzianym gwarancją.</w:t>
      </w:r>
    </w:p>
    <w:p w14:paraId="64899984" w14:textId="77777777" w:rsidR="007B538E" w:rsidRPr="008367BC" w:rsidRDefault="007B538E" w:rsidP="007B538E">
      <w:pPr>
        <w:spacing w:after="120"/>
        <w:jc w:val="both"/>
        <w:rPr>
          <w:rFonts w:ascii="Arial" w:hAnsi="Arial" w:cs="Arial"/>
          <w:sz w:val="18"/>
          <w:szCs w:val="18"/>
        </w:rPr>
      </w:pPr>
    </w:p>
    <w:p w14:paraId="0DD34867" w14:textId="77777777" w:rsidR="007B538E" w:rsidRPr="008367BC" w:rsidRDefault="007B538E" w:rsidP="007B538E">
      <w:pPr>
        <w:pStyle w:val="Nagwek2"/>
        <w:keepLines w:val="0"/>
        <w:numPr>
          <w:ilvl w:val="0"/>
          <w:numId w:val="4"/>
        </w:numPr>
        <w:spacing w:before="0" w:after="120"/>
        <w:ind w:left="284" w:hanging="284"/>
        <w:rPr>
          <w:rFonts w:cs="Arial"/>
          <w:sz w:val="18"/>
          <w:szCs w:val="18"/>
        </w:rPr>
      </w:pPr>
      <w:bookmarkStart w:id="7" w:name="_Toc477867194"/>
      <w:r w:rsidRPr="008367BC">
        <w:rPr>
          <w:rFonts w:cs="Arial"/>
          <w:sz w:val="18"/>
          <w:szCs w:val="18"/>
        </w:rPr>
        <w:t>ZIELEŃ</w:t>
      </w:r>
      <w:bookmarkEnd w:id="7"/>
    </w:p>
    <w:p w14:paraId="7D8D5D06" w14:textId="77777777" w:rsidR="007B538E" w:rsidRPr="008367BC" w:rsidRDefault="007B538E" w:rsidP="007B538E">
      <w:pPr>
        <w:pStyle w:val="Nagwek2"/>
        <w:spacing w:after="120"/>
        <w:ind w:left="284"/>
        <w:rPr>
          <w:rFonts w:cs="Arial"/>
          <w:sz w:val="18"/>
          <w:szCs w:val="18"/>
        </w:rPr>
      </w:pPr>
    </w:p>
    <w:p w14:paraId="3336A591" w14:textId="77777777" w:rsidR="007B538E" w:rsidRPr="008367BC" w:rsidRDefault="007B538E" w:rsidP="007B538E">
      <w:pPr>
        <w:numPr>
          <w:ilvl w:val="1"/>
          <w:numId w:val="4"/>
        </w:numPr>
        <w:spacing w:after="120"/>
        <w:ind w:left="709" w:hanging="709"/>
        <w:jc w:val="both"/>
        <w:rPr>
          <w:rFonts w:ascii="Arial" w:hAnsi="Arial" w:cs="Arial"/>
          <w:b/>
          <w:sz w:val="18"/>
          <w:szCs w:val="18"/>
        </w:rPr>
      </w:pPr>
      <w:r w:rsidRPr="008367BC">
        <w:rPr>
          <w:rFonts w:ascii="Arial" w:hAnsi="Arial" w:cs="Arial"/>
          <w:b/>
          <w:sz w:val="18"/>
          <w:szCs w:val="18"/>
        </w:rPr>
        <w:t>Zieleń</w:t>
      </w:r>
    </w:p>
    <w:p w14:paraId="527A8537" w14:textId="77777777" w:rsidR="007B538E" w:rsidRPr="008367BC" w:rsidRDefault="007B538E" w:rsidP="007B538E">
      <w:pPr>
        <w:spacing w:after="120"/>
        <w:jc w:val="both"/>
        <w:rPr>
          <w:rFonts w:ascii="Arial" w:hAnsi="Arial" w:cs="Arial"/>
          <w:sz w:val="18"/>
          <w:szCs w:val="18"/>
        </w:rPr>
      </w:pPr>
      <w:r w:rsidRPr="008367BC">
        <w:rPr>
          <w:rFonts w:ascii="Arial" w:hAnsi="Arial" w:cs="Arial"/>
          <w:sz w:val="18"/>
          <w:szCs w:val="18"/>
        </w:rPr>
        <w:t>Gwarancja na zieleń wynosi 3 pełne sezony wegetacyjne (jako sezon wegetacyjny należy rozumieć okres od początku kwietnia do końca października, początek I sezonu jest zawsze liczony od 01.04 danego roku).</w:t>
      </w:r>
    </w:p>
    <w:p w14:paraId="41556B24" w14:textId="77777777" w:rsidR="007B538E" w:rsidRPr="008367BC" w:rsidRDefault="007B538E" w:rsidP="007B538E">
      <w:pPr>
        <w:spacing w:after="120"/>
        <w:jc w:val="both"/>
        <w:rPr>
          <w:rFonts w:ascii="Arial" w:hAnsi="Arial" w:cs="Arial"/>
          <w:sz w:val="18"/>
          <w:szCs w:val="18"/>
        </w:rPr>
      </w:pPr>
    </w:p>
    <w:p w14:paraId="04FC2DF5" w14:textId="77777777" w:rsidR="007B538E" w:rsidRPr="008367BC" w:rsidRDefault="007B538E" w:rsidP="007B538E">
      <w:pPr>
        <w:numPr>
          <w:ilvl w:val="2"/>
          <w:numId w:val="4"/>
        </w:numPr>
        <w:spacing w:after="120"/>
        <w:ind w:left="709" w:hanging="709"/>
        <w:jc w:val="both"/>
        <w:rPr>
          <w:rFonts w:ascii="Arial" w:hAnsi="Arial" w:cs="Arial"/>
          <w:sz w:val="18"/>
          <w:szCs w:val="18"/>
        </w:rPr>
      </w:pPr>
      <w:r w:rsidRPr="008367BC">
        <w:rPr>
          <w:rFonts w:ascii="Arial" w:hAnsi="Arial" w:cs="Arial"/>
          <w:sz w:val="18"/>
          <w:szCs w:val="18"/>
        </w:rPr>
        <w:t>Wykonawca w okresie gwarancji jest zobowiązany do prowadzenia zabiegów konserwacyjnych zgodnie z wymogami określonymi „Warunkami Wykonania i Odbioru Robot Budowlanych” na wszystkich elementach zieleni przydrożnej wykonanej i/lub nasadzonej w ramach zrealizowanego zadania.</w:t>
      </w:r>
    </w:p>
    <w:p w14:paraId="597BB65E" w14:textId="77777777" w:rsidR="007B538E" w:rsidRPr="008367BC" w:rsidRDefault="007B538E" w:rsidP="007B538E">
      <w:pPr>
        <w:spacing w:after="120"/>
        <w:ind w:left="709"/>
        <w:jc w:val="both"/>
        <w:rPr>
          <w:rFonts w:ascii="Arial" w:hAnsi="Arial" w:cs="Arial"/>
          <w:sz w:val="18"/>
          <w:szCs w:val="18"/>
        </w:rPr>
      </w:pPr>
      <w:r w:rsidRPr="008367BC">
        <w:rPr>
          <w:rFonts w:ascii="Arial" w:hAnsi="Arial" w:cs="Arial"/>
          <w:sz w:val="18"/>
          <w:szCs w:val="18"/>
        </w:rPr>
        <w:t xml:space="preserve">Zieleń w pasie drogowym, należy pielęgnować i utrzymywać w taki sposób, aby nie powodować ograniczenia przepływu wody, obsypywania się skarp i rozsiewania się chwastów. Jej wysokość nie może ograniczać widoczności urządzeń umieszczonych w pasie drogowym. Nie może także rozrastać się w skrajnię drogi a roślinność niska (w tym trawa) nie może być wyższa niż 20 cm </w:t>
      </w:r>
      <w:r w:rsidRPr="008367BC">
        <w:rPr>
          <w:rFonts w:ascii="Arial" w:hAnsi="Arial" w:cs="Arial"/>
          <w:bCs/>
          <w:sz w:val="18"/>
          <w:szCs w:val="18"/>
        </w:rPr>
        <w:t>(</w:t>
      </w:r>
      <w:r w:rsidRPr="008367BC">
        <w:rPr>
          <w:rFonts w:ascii="Arial" w:hAnsi="Arial" w:cs="Arial"/>
          <w:sz w:val="18"/>
          <w:szCs w:val="18"/>
        </w:rPr>
        <w:t>za wyjątkiem stref najść i przemieszczania się na przejściach dla zwierząt</w:t>
      </w:r>
      <w:r w:rsidRPr="008367BC">
        <w:rPr>
          <w:rFonts w:ascii="Arial" w:hAnsi="Arial" w:cs="Arial"/>
          <w:bCs/>
          <w:sz w:val="18"/>
          <w:szCs w:val="18"/>
        </w:rPr>
        <w:t>).</w:t>
      </w:r>
      <w:r w:rsidRPr="008367BC">
        <w:rPr>
          <w:rFonts w:ascii="Arial" w:hAnsi="Arial" w:cs="Arial"/>
          <w:sz w:val="18"/>
          <w:szCs w:val="18"/>
        </w:rPr>
        <w:t xml:space="preserve"> Zasady te obowiązują przez cały okres trwania gwarancji.  </w:t>
      </w:r>
    </w:p>
    <w:p w14:paraId="7A100DFC" w14:textId="77777777" w:rsidR="007B538E" w:rsidRPr="008367BC" w:rsidRDefault="007B538E" w:rsidP="007B538E">
      <w:pPr>
        <w:spacing w:after="120"/>
        <w:jc w:val="both"/>
        <w:rPr>
          <w:rFonts w:ascii="Arial" w:hAnsi="Arial" w:cs="Arial"/>
          <w:sz w:val="18"/>
          <w:szCs w:val="18"/>
        </w:rPr>
      </w:pPr>
    </w:p>
    <w:p w14:paraId="54F57495" w14:textId="77777777" w:rsidR="007B538E" w:rsidRPr="008367BC" w:rsidRDefault="007B538E" w:rsidP="007B538E">
      <w:pPr>
        <w:numPr>
          <w:ilvl w:val="2"/>
          <w:numId w:val="4"/>
        </w:numPr>
        <w:spacing w:after="120"/>
        <w:ind w:left="709" w:hanging="709"/>
        <w:jc w:val="both"/>
        <w:rPr>
          <w:rFonts w:ascii="Arial" w:hAnsi="Arial" w:cs="Arial"/>
          <w:sz w:val="18"/>
          <w:szCs w:val="18"/>
        </w:rPr>
      </w:pPr>
      <w:r w:rsidRPr="008367BC">
        <w:rPr>
          <w:rFonts w:ascii="Arial" w:hAnsi="Arial" w:cs="Arial"/>
          <w:sz w:val="18"/>
          <w:szCs w:val="18"/>
        </w:rPr>
        <w:t>Wykonawca w okresie gwarancji prowadzi zabiegi pielęgnacyjne zgodnie z sztuką ogrodniczą.</w:t>
      </w:r>
    </w:p>
    <w:p w14:paraId="678651AB" w14:textId="77777777" w:rsidR="007B538E" w:rsidRPr="008367BC" w:rsidRDefault="007B538E" w:rsidP="007B538E">
      <w:pPr>
        <w:spacing w:after="120"/>
        <w:ind w:left="709"/>
        <w:jc w:val="both"/>
        <w:rPr>
          <w:rFonts w:ascii="Arial" w:hAnsi="Arial" w:cs="Arial"/>
          <w:sz w:val="18"/>
          <w:szCs w:val="18"/>
        </w:rPr>
      </w:pPr>
    </w:p>
    <w:p w14:paraId="26F7E949" w14:textId="77777777" w:rsidR="007B538E" w:rsidRPr="008367BC" w:rsidRDefault="007B538E" w:rsidP="007B538E">
      <w:pPr>
        <w:numPr>
          <w:ilvl w:val="2"/>
          <w:numId w:val="4"/>
        </w:numPr>
        <w:spacing w:after="120"/>
        <w:ind w:left="709" w:hanging="709"/>
        <w:jc w:val="both"/>
        <w:rPr>
          <w:rFonts w:ascii="Arial" w:hAnsi="Arial" w:cs="Arial"/>
          <w:sz w:val="18"/>
          <w:szCs w:val="18"/>
        </w:rPr>
      </w:pPr>
      <w:r w:rsidRPr="008367BC">
        <w:rPr>
          <w:rFonts w:ascii="Arial" w:hAnsi="Arial" w:cs="Arial"/>
          <w:sz w:val="18"/>
          <w:szCs w:val="18"/>
        </w:rPr>
        <w:t xml:space="preserve">Sztuka ogrodnicza – na potrzeby niniejszego dokumentu przyjmuje się, iż Zamawiający pod tym pojęciem rozumie wszelkie prace związane z nawadnianiem, </w:t>
      </w:r>
      <w:proofErr w:type="spellStart"/>
      <w:r w:rsidRPr="008367BC">
        <w:rPr>
          <w:rFonts w:ascii="Arial" w:hAnsi="Arial" w:cs="Arial"/>
          <w:sz w:val="18"/>
          <w:szCs w:val="18"/>
        </w:rPr>
        <w:t>ściołowaniem</w:t>
      </w:r>
      <w:proofErr w:type="spellEnd"/>
      <w:r w:rsidRPr="008367BC">
        <w:rPr>
          <w:rFonts w:ascii="Arial" w:hAnsi="Arial" w:cs="Arial"/>
          <w:sz w:val="18"/>
          <w:szCs w:val="18"/>
        </w:rPr>
        <w:t>, korowaniem, nawożeniem, przycinaniem (ciecia sanitarne i korygujące), koszeniem, grabieniem, pieleniem, stosowaniem środków ochrony chemicznej i naturalnej, palikowaniem oraz inne zabiegi wynikające z biologii i wymagań siedliskowych poszczególnych gatunków. Wyżej wymienione działania podejmowane przez Wykonawcę w odniesieniu do poszczególnych gatunków, powierzchni zielonych itp. mają na celu adaptację posadzonego/ zasianego materiału roślinnego do nowych warunków oraz wytworzenie  i zapewnienie w okresie gwarancji możliwości do samodzielnego wzrostu i trwałości po okresie gwarancji.</w:t>
      </w:r>
    </w:p>
    <w:p w14:paraId="0FBD5908" w14:textId="77777777" w:rsidR="007B538E" w:rsidRPr="008367BC" w:rsidRDefault="007B538E" w:rsidP="007B538E">
      <w:pPr>
        <w:pStyle w:val="Akapitzlist"/>
        <w:rPr>
          <w:rFonts w:ascii="Arial" w:hAnsi="Arial" w:cs="Arial"/>
          <w:sz w:val="18"/>
          <w:szCs w:val="18"/>
          <w:lang w:val="pl-PL"/>
        </w:rPr>
      </w:pPr>
    </w:p>
    <w:p w14:paraId="6E0D54A1" w14:textId="77777777" w:rsidR="007B538E" w:rsidRPr="008367BC" w:rsidRDefault="007B538E" w:rsidP="007B538E">
      <w:pPr>
        <w:spacing w:after="120"/>
        <w:ind w:left="709"/>
        <w:jc w:val="both"/>
        <w:rPr>
          <w:rFonts w:ascii="Arial" w:hAnsi="Arial" w:cs="Arial"/>
          <w:sz w:val="18"/>
          <w:szCs w:val="18"/>
        </w:rPr>
      </w:pPr>
    </w:p>
    <w:p w14:paraId="1074A4B2" w14:textId="77777777" w:rsidR="007B538E" w:rsidRPr="008367BC" w:rsidRDefault="007B538E" w:rsidP="007B538E">
      <w:pPr>
        <w:numPr>
          <w:ilvl w:val="2"/>
          <w:numId w:val="4"/>
        </w:numPr>
        <w:spacing w:after="120"/>
        <w:ind w:left="709" w:hanging="709"/>
        <w:jc w:val="both"/>
        <w:rPr>
          <w:rFonts w:ascii="Arial" w:hAnsi="Arial" w:cs="Arial"/>
          <w:sz w:val="18"/>
          <w:szCs w:val="18"/>
        </w:rPr>
      </w:pPr>
      <w:r w:rsidRPr="008367BC">
        <w:rPr>
          <w:rFonts w:ascii="Arial" w:hAnsi="Arial" w:cs="Arial"/>
          <w:sz w:val="18"/>
          <w:szCs w:val="18"/>
        </w:rPr>
        <w:t>W okresie gwarancji Wykonawca przy udziale Zamawiającego corocznie dokonuje przeglądu zieleni, z którego sporządza się protokół. Przegląd wykonuje się w okresie sezonu wegetacyjnego, przy pełnym ulistnieniu i w fazie wzrostu roślin pozwalającym ocenić stopień udatności zasiewu/nasadzeń. Poprawki i uzupełnienia Wykonawca wykonuje w tym samym okresie wegetacyjnym.</w:t>
      </w:r>
    </w:p>
    <w:p w14:paraId="65DEEC0C" w14:textId="77777777" w:rsidR="007B538E" w:rsidRPr="008367BC" w:rsidRDefault="007B538E" w:rsidP="007B538E">
      <w:pPr>
        <w:spacing w:after="120"/>
        <w:ind w:left="709"/>
        <w:jc w:val="both"/>
        <w:rPr>
          <w:rFonts w:ascii="Arial" w:hAnsi="Arial" w:cs="Arial"/>
          <w:sz w:val="18"/>
          <w:szCs w:val="18"/>
        </w:rPr>
      </w:pPr>
    </w:p>
    <w:p w14:paraId="341268B8" w14:textId="77777777" w:rsidR="007B538E" w:rsidRPr="008367BC" w:rsidRDefault="007B538E" w:rsidP="007B538E">
      <w:pPr>
        <w:numPr>
          <w:ilvl w:val="2"/>
          <w:numId w:val="4"/>
        </w:numPr>
        <w:spacing w:after="120"/>
        <w:ind w:left="709" w:hanging="709"/>
        <w:jc w:val="both"/>
        <w:rPr>
          <w:rFonts w:ascii="Arial" w:hAnsi="Arial" w:cs="Arial"/>
          <w:sz w:val="18"/>
          <w:szCs w:val="18"/>
        </w:rPr>
      </w:pPr>
      <w:r w:rsidRPr="008367BC">
        <w:rPr>
          <w:rFonts w:ascii="Arial" w:hAnsi="Arial" w:cs="Arial"/>
          <w:sz w:val="18"/>
          <w:szCs w:val="18"/>
        </w:rPr>
        <w:t xml:space="preserve">Jeśli w trakcie pierwszego przeglądu stwierdzone zostanie, że udatność wykonanych nasadzeń jest poniżej 30% przyjmuje się, iż całą zieleń należy nasadzić powtórnie, a okres gwarancji wydłużyć o 1 pełny sezon wegetacyjny. </w:t>
      </w:r>
    </w:p>
    <w:p w14:paraId="414824F3" w14:textId="77777777" w:rsidR="007B538E" w:rsidRPr="008367BC" w:rsidRDefault="007B538E" w:rsidP="007B538E">
      <w:pPr>
        <w:pStyle w:val="Akapitzlist"/>
        <w:rPr>
          <w:rFonts w:ascii="Arial" w:hAnsi="Arial" w:cs="Arial"/>
          <w:sz w:val="18"/>
          <w:szCs w:val="18"/>
          <w:lang w:val="pl-PL"/>
        </w:rPr>
      </w:pPr>
    </w:p>
    <w:p w14:paraId="07BE4A69" w14:textId="77777777" w:rsidR="007B538E" w:rsidRPr="008367BC" w:rsidRDefault="007B538E" w:rsidP="007B538E">
      <w:pPr>
        <w:spacing w:after="120"/>
        <w:ind w:left="709"/>
        <w:jc w:val="both"/>
        <w:rPr>
          <w:rFonts w:ascii="Arial" w:hAnsi="Arial" w:cs="Arial"/>
          <w:sz w:val="18"/>
          <w:szCs w:val="18"/>
        </w:rPr>
      </w:pPr>
    </w:p>
    <w:p w14:paraId="2A39403D" w14:textId="77777777" w:rsidR="007B538E" w:rsidRPr="008367BC" w:rsidRDefault="007B538E" w:rsidP="007B538E">
      <w:pPr>
        <w:numPr>
          <w:ilvl w:val="2"/>
          <w:numId w:val="4"/>
        </w:numPr>
        <w:spacing w:after="120"/>
        <w:ind w:left="709" w:hanging="709"/>
        <w:jc w:val="both"/>
        <w:rPr>
          <w:rFonts w:ascii="Arial" w:hAnsi="Arial" w:cs="Arial"/>
          <w:sz w:val="18"/>
          <w:szCs w:val="18"/>
        </w:rPr>
      </w:pPr>
      <w:r w:rsidRPr="008367BC">
        <w:rPr>
          <w:rFonts w:ascii="Arial" w:hAnsi="Arial" w:cs="Arial"/>
          <w:sz w:val="18"/>
          <w:szCs w:val="18"/>
        </w:rPr>
        <w:t>Kontrola jakości humusowania i obsiania skarp, rowów i terenów płaskich. Po  trzecim sezonie wegetacyjnym gwarancji łączna powierzchnia nieporośniętych miejsc nie powinna być większa niż 2% wszystkich obsianych powierzchni, a maksymalny wymiar pojedynczych niezadarnionych / nie pokrytych trawą miejsc nie powinien przekraczać 0,5 m</w:t>
      </w:r>
      <w:r w:rsidRPr="008367BC">
        <w:rPr>
          <w:rFonts w:ascii="Arial" w:hAnsi="Arial" w:cs="Arial"/>
          <w:sz w:val="18"/>
          <w:szCs w:val="18"/>
          <w:vertAlign w:val="superscript"/>
        </w:rPr>
        <w:t>2</w:t>
      </w:r>
      <w:r w:rsidRPr="008367BC">
        <w:rPr>
          <w:rFonts w:ascii="Arial" w:hAnsi="Arial" w:cs="Arial"/>
          <w:sz w:val="18"/>
          <w:szCs w:val="18"/>
        </w:rPr>
        <w:t>. Nie dopuszcza się na zarośniętej powierzchni występowania jakichkolwiek wyżłobień erozyjnych ani lokalnych zsuwów.</w:t>
      </w:r>
    </w:p>
    <w:p w14:paraId="7162306F" w14:textId="77777777" w:rsidR="007B538E" w:rsidRPr="008367BC" w:rsidRDefault="007B538E" w:rsidP="007B538E">
      <w:pPr>
        <w:spacing w:after="120"/>
        <w:ind w:left="709"/>
        <w:jc w:val="both"/>
        <w:rPr>
          <w:rFonts w:ascii="Arial" w:hAnsi="Arial" w:cs="Arial"/>
          <w:sz w:val="18"/>
          <w:szCs w:val="18"/>
        </w:rPr>
      </w:pPr>
    </w:p>
    <w:p w14:paraId="5EE90F14" w14:textId="77777777" w:rsidR="007B538E" w:rsidRPr="008367BC" w:rsidRDefault="007B538E" w:rsidP="007B538E">
      <w:pPr>
        <w:numPr>
          <w:ilvl w:val="2"/>
          <w:numId w:val="4"/>
        </w:numPr>
        <w:spacing w:after="120"/>
        <w:ind w:left="709" w:hanging="709"/>
        <w:jc w:val="both"/>
        <w:rPr>
          <w:rFonts w:ascii="Arial" w:hAnsi="Arial" w:cs="Arial"/>
          <w:sz w:val="18"/>
          <w:szCs w:val="18"/>
        </w:rPr>
      </w:pPr>
      <w:r w:rsidRPr="008367BC">
        <w:rPr>
          <w:rFonts w:ascii="Arial" w:hAnsi="Arial" w:cs="Arial"/>
          <w:sz w:val="18"/>
          <w:szCs w:val="18"/>
        </w:rPr>
        <w:t>Kontrola jakości nasadzonych drzew, krzewów i pnączy</w:t>
      </w:r>
    </w:p>
    <w:p w14:paraId="2DF45CBD" w14:textId="77777777" w:rsidR="007B538E" w:rsidRPr="008367BC" w:rsidRDefault="007B538E" w:rsidP="007B538E">
      <w:pPr>
        <w:numPr>
          <w:ilvl w:val="0"/>
          <w:numId w:val="6"/>
        </w:numPr>
        <w:spacing w:after="120"/>
        <w:ind w:left="567" w:hanging="283"/>
        <w:jc w:val="both"/>
        <w:rPr>
          <w:rFonts w:ascii="Arial" w:hAnsi="Arial" w:cs="Arial"/>
          <w:sz w:val="18"/>
          <w:szCs w:val="18"/>
        </w:rPr>
      </w:pPr>
      <w:r w:rsidRPr="008367BC">
        <w:rPr>
          <w:rFonts w:ascii="Arial" w:hAnsi="Arial" w:cs="Arial"/>
          <w:sz w:val="18"/>
          <w:szCs w:val="18"/>
        </w:rPr>
        <w:t>Po 3 letnim okresie gwarancji udatność nasadzeń nie będzie niższa niż:</w:t>
      </w:r>
    </w:p>
    <w:p w14:paraId="12969CC6" w14:textId="77777777" w:rsidR="007B538E" w:rsidRPr="008367BC" w:rsidRDefault="007B538E" w:rsidP="007B538E">
      <w:pPr>
        <w:numPr>
          <w:ilvl w:val="0"/>
          <w:numId w:val="7"/>
        </w:numPr>
        <w:spacing w:after="120"/>
        <w:ind w:left="993" w:hanging="284"/>
        <w:jc w:val="both"/>
        <w:rPr>
          <w:rFonts w:ascii="Arial" w:hAnsi="Arial" w:cs="Arial"/>
          <w:sz w:val="18"/>
          <w:szCs w:val="18"/>
        </w:rPr>
      </w:pPr>
      <w:r w:rsidRPr="008367BC">
        <w:rPr>
          <w:rFonts w:ascii="Arial" w:hAnsi="Arial" w:cs="Arial"/>
          <w:sz w:val="18"/>
          <w:szCs w:val="18"/>
        </w:rPr>
        <w:t>95% dla krzewów</w:t>
      </w:r>
    </w:p>
    <w:p w14:paraId="370910CD" w14:textId="77777777" w:rsidR="007B538E" w:rsidRPr="008367BC" w:rsidRDefault="007B538E" w:rsidP="007B538E">
      <w:pPr>
        <w:numPr>
          <w:ilvl w:val="0"/>
          <w:numId w:val="7"/>
        </w:numPr>
        <w:spacing w:after="120"/>
        <w:ind w:left="993" w:hanging="284"/>
        <w:jc w:val="both"/>
        <w:rPr>
          <w:rFonts w:ascii="Arial" w:hAnsi="Arial" w:cs="Arial"/>
          <w:sz w:val="18"/>
          <w:szCs w:val="18"/>
        </w:rPr>
      </w:pPr>
      <w:r w:rsidRPr="008367BC">
        <w:rPr>
          <w:rFonts w:ascii="Arial" w:hAnsi="Arial" w:cs="Arial"/>
          <w:sz w:val="18"/>
          <w:szCs w:val="18"/>
        </w:rPr>
        <w:t>95% dla drzew szkółkarskich (szkółki leśne)</w:t>
      </w:r>
    </w:p>
    <w:p w14:paraId="71D65D24" w14:textId="77777777" w:rsidR="007B538E" w:rsidRPr="008367BC" w:rsidRDefault="007B538E" w:rsidP="007B538E">
      <w:pPr>
        <w:numPr>
          <w:ilvl w:val="0"/>
          <w:numId w:val="7"/>
        </w:numPr>
        <w:spacing w:after="120"/>
        <w:ind w:left="993" w:hanging="284"/>
        <w:jc w:val="both"/>
        <w:rPr>
          <w:rFonts w:ascii="Arial" w:hAnsi="Arial" w:cs="Arial"/>
          <w:sz w:val="18"/>
          <w:szCs w:val="18"/>
        </w:rPr>
      </w:pPr>
      <w:r w:rsidRPr="008367BC">
        <w:rPr>
          <w:rFonts w:ascii="Arial" w:hAnsi="Arial" w:cs="Arial"/>
          <w:sz w:val="18"/>
          <w:szCs w:val="18"/>
        </w:rPr>
        <w:t xml:space="preserve">98% dla drzew </w:t>
      </w:r>
      <w:proofErr w:type="spellStart"/>
      <w:r w:rsidRPr="008367BC">
        <w:rPr>
          <w:rFonts w:ascii="Arial" w:hAnsi="Arial" w:cs="Arial"/>
          <w:sz w:val="18"/>
          <w:szCs w:val="18"/>
        </w:rPr>
        <w:t>soliterowych</w:t>
      </w:r>
      <w:proofErr w:type="spellEnd"/>
      <w:r w:rsidRPr="008367BC">
        <w:rPr>
          <w:rFonts w:ascii="Arial" w:hAnsi="Arial" w:cs="Arial"/>
          <w:sz w:val="18"/>
          <w:szCs w:val="18"/>
        </w:rPr>
        <w:t xml:space="preserve">  </w:t>
      </w:r>
    </w:p>
    <w:p w14:paraId="47C011A8" w14:textId="77777777" w:rsidR="007B538E" w:rsidRPr="008367BC" w:rsidRDefault="007B538E" w:rsidP="007B538E">
      <w:pPr>
        <w:numPr>
          <w:ilvl w:val="0"/>
          <w:numId w:val="6"/>
        </w:numPr>
        <w:spacing w:after="120"/>
        <w:ind w:left="567" w:hanging="283"/>
        <w:jc w:val="both"/>
        <w:rPr>
          <w:rFonts w:ascii="Arial" w:hAnsi="Arial" w:cs="Arial"/>
          <w:sz w:val="18"/>
          <w:szCs w:val="18"/>
        </w:rPr>
      </w:pPr>
      <w:r w:rsidRPr="008367BC">
        <w:rPr>
          <w:rFonts w:ascii="Arial" w:hAnsi="Arial" w:cs="Arial"/>
          <w:sz w:val="18"/>
          <w:szCs w:val="18"/>
        </w:rPr>
        <w:lastRenderedPageBreak/>
        <w:t>Dopuszczalny stopień wypadów (zieleni wysokiej i niskiej, która się nie przyjęła):</w:t>
      </w:r>
    </w:p>
    <w:p w14:paraId="2E72434F" w14:textId="77777777" w:rsidR="007B538E" w:rsidRPr="008367BC" w:rsidRDefault="007B538E" w:rsidP="007B538E">
      <w:pPr>
        <w:numPr>
          <w:ilvl w:val="0"/>
          <w:numId w:val="8"/>
        </w:numPr>
        <w:spacing w:after="120"/>
        <w:ind w:left="993" w:hanging="284"/>
        <w:jc w:val="both"/>
        <w:rPr>
          <w:rFonts w:ascii="Arial" w:hAnsi="Arial" w:cs="Arial"/>
          <w:sz w:val="18"/>
          <w:szCs w:val="18"/>
        </w:rPr>
      </w:pPr>
      <w:r w:rsidRPr="008367BC">
        <w:rPr>
          <w:rFonts w:ascii="Arial" w:hAnsi="Arial" w:cs="Arial"/>
          <w:sz w:val="18"/>
          <w:szCs w:val="18"/>
        </w:rPr>
        <w:t>5% dla krzewów</w:t>
      </w:r>
    </w:p>
    <w:p w14:paraId="708CE90A" w14:textId="77777777" w:rsidR="007B538E" w:rsidRPr="008367BC" w:rsidRDefault="007B538E" w:rsidP="007B538E">
      <w:pPr>
        <w:numPr>
          <w:ilvl w:val="0"/>
          <w:numId w:val="8"/>
        </w:numPr>
        <w:spacing w:after="120"/>
        <w:ind w:left="993" w:hanging="284"/>
        <w:jc w:val="both"/>
        <w:rPr>
          <w:rFonts w:ascii="Arial" w:hAnsi="Arial" w:cs="Arial"/>
          <w:sz w:val="18"/>
          <w:szCs w:val="18"/>
        </w:rPr>
      </w:pPr>
      <w:r w:rsidRPr="008367BC">
        <w:rPr>
          <w:rFonts w:ascii="Arial" w:hAnsi="Arial" w:cs="Arial"/>
          <w:sz w:val="18"/>
          <w:szCs w:val="18"/>
        </w:rPr>
        <w:t>5% dla drzew szkółkarskich (szkółki leśne)</w:t>
      </w:r>
    </w:p>
    <w:p w14:paraId="68D51F70" w14:textId="77777777" w:rsidR="007B538E" w:rsidRPr="008367BC" w:rsidRDefault="007B538E" w:rsidP="007B538E">
      <w:pPr>
        <w:numPr>
          <w:ilvl w:val="0"/>
          <w:numId w:val="8"/>
        </w:numPr>
        <w:spacing w:after="120"/>
        <w:ind w:left="993" w:hanging="284"/>
        <w:jc w:val="both"/>
        <w:rPr>
          <w:rFonts w:ascii="Arial" w:hAnsi="Arial" w:cs="Arial"/>
          <w:sz w:val="18"/>
          <w:szCs w:val="18"/>
        </w:rPr>
      </w:pPr>
      <w:r w:rsidRPr="008367BC">
        <w:rPr>
          <w:rFonts w:ascii="Arial" w:hAnsi="Arial" w:cs="Arial"/>
          <w:sz w:val="18"/>
          <w:szCs w:val="18"/>
        </w:rPr>
        <w:t xml:space="preserve">2% dla drzew </w:t>
      </w:r>
      <w:proofErr w:type="spellStart"/>
      <w:r w:rsidRPr="008367BC">
        <w:rPr>
          <w:rFonts w:ascii="Arial" w:hAnsi="Arial" w:cs="Arial"/>
          <w:sz w:val="18"/>
          <w:szCs w:val="18"/>
        </w:rPr>
        <w:t>soliterowych</w:t>
      </w:r>
      <w:proofErr w:type="spellEnd"/>
    </w:p>
    <w:p w14:paraId="532400CD" w14:textId="77777777" w:rsidR="007B538E" w:rsidRPr="008367BC" w:rsidRDefault="007B538E" w:rsidP="007B538E">
      <w:pPr>
        <w:spacing w:after="120"/>
        <w:ind w:left="993"/>
        <w:jc w:val="both"/>
        <w:rPr>
          <w:rFonts w:ascii="Arial" w:hAnsi="Arial" w:cs="Arial"/>
          <w:sz w:val="18"/>
          <w:szCs w:val="18"/>
        </w:rPr>
      </w:pPr>
    </w:p>
    <w:p w14:paraId="273F8EA4" w14:textId="77777777" w:rsidR="007B538E" w:rsidRPr="008367BC" w:rsidRDefault="007B538E" w:rsidP="007B538E">
      <w:pPr>
        <w:numPr>
          <w:ilvl w:val="2"/>
          <w:numId w:val="4"/>
        </w:numPr>
        <w:spacing w:after="120"/>
        <w:ind w:left="709" w:hanging="709"/>
        <w:jc w:val="both"/>
        <w:rPr>
          <w:rFonts w:ascii="Arial" w:hAnsi="Arial" w:cs="Arial"/>
          <w:sz w:val="18"/>
          <w:szCs w:val="18"/>
        </w:rPr>
      </w:pPr>
      <w:r w:rsidRPr="008367BC">
        <w:rPr>
          <w:rFonts w:ascii="Arial" w:hAnsi="Arial" w:cs="Arial"/>
          <w:sz w:val="18"/>
          <w:szCs w:val="18"/>
        </w:rPr>
        <w:t xml:space="preserve">W przypadku nie osiągnięcia zakładanej udatności nasadzeń, o której mowa w pkt 4.1.7, Wykonawca jest zobowiązany do wprowadzenia niezbędnych poprawek i uzupełnień w </w:t>
      </w:r>
      <w:proofErr w:type="spellStart"/>
      <w:r w:rsidRPr="008367BC">
        <w:rPr>
          <w:rFonts w:ascii="Arial" w:hAnsi="Arial" w:cs="Arial"/>
          <w:sz w:val="18"/>
          <w:szCs w:val="18"/>
        </w:rPr>
        <w:t>nasadzeniach</w:t>
      </w:r>
      <w:proofErr w:type="spellEnd"/>
      <w:r w:rsidRPr="008367BC">
        <w:rPr>
          <w:rFonts w:ascii="Arial" w:hAnsi="Arial" w:cs="Arial"/>
          <w:sz w:val="18"/>
          <w:szCs w:val="18"/>
        </w:rPr>
        <w:t xml:space="preserve"> w tym samym okresie wegetacyjnym, przy czym jeśli w trakcie przeprowadzonego przeglądu stwierdzone zostanie, że udatność wykonanych nasadzeń jest poniżej 30% całą zieleń należy nasadzić powtórnie, a okres gwarancji wydłużyć się o 3 pełne sezony wegetacyjne.</w:t>
      </w:r>
    </w:p>
    <w:p w14:paraId="4C4FFF12" w14:textId="77777777" w:rsidR="007B538E" w:rsidRPr="008367BC" w:rsidRDefault="007B538E" w:rsidP="007B538E">
      <w:pPr>
        <w:spacing w:after="120"/>
        <w:ind w:left="709"/>
        <w:jc w:val="both"/>
        <w:rPr>
          <w:rFonts w:ascii="Arial" w:hAnsi="Arial" w:cs="Arial"/>
          <w:sz w:val="18"/>
          <w:szCs w:val="18"/>
        </w:rPr>
      </w:pPr>
    </w:p>
    <w:p w14:paraId="33F9390B" w14:textId="77777777" w:rsidR="007B538E" w:rsidRPr="008367BC" w:rsidRDefault="007B538E" w:rsidP="007B538E">
      <w:pPr>
        <w:numPr>
          <w:ilvl w:val="2"/>
          <w:numId w:val="4"/>
        </w:numPr>
        <w:spacing w:after="120"/>
        <w:ind w:left="709" w:hanging="709"/>
        <w:jc w:val="both"/>
        <w:rPr>
          <w:rFonts w:ascii="Arial" w:hAnsi="Arial" w:cs="Arial"/>
          <w:sz w:val="18"/>
          <w:szCs w:val="18"/>
        </w:rPr>
      </w:pPr>
      <w:r w:rsidRPr="008367BC">
        <w:rPr>
          <w:rFonts w:ascii="Arial" w:hAnsi="Arial" w:cs="Arial"/>
          <w:sz w:val="18"/>
          <w:szCs w:val="18"/>
        </w:rPr>
        <w:t>Dopuszczalne formy uszkodzeń i nieprawidłowości określane na podstawie oceny wizualnej</w:t>
      </w:r>
    </w:p>
    <w:p w14:paraId="7B0E3D39" w14:textId="77777777" w:rsidR="007B538E" w:rsidRPr="008367BC" w:rsidRDefault="007B538E" w:rsidP="007B538E">
      <w:pPr>
        <w:numPr>
          <w:ilvl w:val="0"/>
          <w:numId w:val="18"/>
        </w:numPr>
        <w:spacing w:after="120"/>
        <w:contextualSpacing/>
        <w:jc w:val="both"/>
        <w:rPr>
          <w:rFonts w:ascii="Arial" w:hAnsi="Arial" w:cs="Arial"/>
          <w:sz w:val="18"/>
          <w:szCs w:val="18"/>
        </w:rPr>
      </w:pPr>
      <w:r w:rsidRPr="008367BC">
        <w:rPr>
          <w:rFonts w:ascii="Arial" w:hAnsi="Arial" w:cs="Arial"/>
          <w:sz w:val="18"/>
          <w:szCs w:val="18"/>
        </w:rPr>
        <w:t>niewielkie defoliacje liści do 15% aparatu asymilacyjnego rośliny,</w:t>
      </w:r>
    </w:p>
    <w:p w14:paraId="6C4FB8ED" w14:textId="77777777" w:rsidR="007B538E" w:rsidRPr="008367BC" w:rsidRDefault="007B538E" w:rsidP="007B538E">
      <w:pPr>
        <w:numPr>
          <w:ilvl w:val="0"/>
          <w:numId w:val="18"/>
        </w:numPr>
        <w:spacing w:after="120"/>
        <w:contextualSpacing/>
        <w:jc w:val="both"/>
        <w:rPr>
          <w:rFonts w:ascii="Arial" w:hAnsi="Arial" w:cs="Arial"/>
          <w:sz w:val="18"/>
          <w:szCs w:val="18"/>
        </w:rPr>
      </w:pPr>
      <w:r w:rsidRPr="008367BC">
        <w:rPr>
          <w:rFonts w:ascii="Arial" w:hAnsi="Arial" w:cs="Arial"/>
          <w:sz w:val="18"/>
          <w:szCs w:val="18"/>
        </w:rPr>
        <w:t>zamieranie końcówek pędów u gatunków wymagających corocznych cieć korygujących,</w:t>
      </w:r>
    </w:p>
    <w:p w14:paraId="49765ACD" w14:textId="77777777" w:rsidR="007B538E" w:rsidRPr="008367BC" w:rsidRDefault="007B538E" w:rsidP="007B538E">
      <w:pPr>
        <w:numPr>
          <w:ilvl w:val="0"/>
          <w:numId w:val="18"/>
        </w:numPr>
        <w:spacing w:after="120"/>
        <w:contextualSpacing/>
        <w:jc w:val="both"/>
        <w:rPr>
          <w:rFonts w:ascii="Arial" w:hAnsi="Arial" w:cs="Arial"/>
          <w:sz w:val="18"/>
          <w:szCs w:val="18"/>
        </w:rPr>
      </w:pPr>
      <w:r w:rsidRPr="008367BC">
        <w:rPr>
          <w:rFonts w:ascii="Arial" w:hAnsi="Arial" w:cs="Arial"/>
          <w:sz w:val="18"/>
          <w:szCs w:val="18"/>
        </w:rPr>
        <w:t>uszkodzenia powierzchni trawiastych spowodowane buchtowaniem dzików, kopce kretów itp.</w:t>
      </w:r>
    </w:p>
    <w:p w14:paraId="5C864A4E" w14:textId="77777777" w:rsidR="007B538E" w:rsidRPr="008367BC" w:rsidRDefault="007B538E" w:rsidP="007B538E">
      <w:pPr>
        <w:numPr>
          <w:ilvl w:val="0"/>
          <w:numId w:val="18"/>
        </w:numPr>
        <w:spacing w:after="120"/>
        <w:contextualSpacing/>
        <w:jc w:val="both"/>
        <w:rPr>
          <w:rFonts w:ascii="Arial" w:hAnsi="Arial" w:cs="Arial"/>
          <w:sz w:val="18"/>
          <w:szCs w:val="18"/>
        </w:rPr>
      </w:pPr>
      <w:r w:rsidRPr="008367BC">
        <w:rPr>
          <w:rFonts w:ascii="Arial" w:hAnsi="Arial" w:cs="Arial"/>
          <w:sz w:val="18"/>
          <w:szCs w:val="18"/>
        </w:rPr>
        <w:t>pojedyncze miejsca uszkodzeń pędów w wyniku obgryzania przez zwierzynę,</w:t>
      </w:r>
    </w:p>
    <w:p w14:paraId="26DD7864" w14:textId="77777777" w:rsidR="007B538E" w:rsidRPr="008367BC" w:rsidRDefault="007B538E" w:rsidP="007B538E">
      <w:pPr>
        <w:numPr>
          <w:ilvl w:val="0"/>
          <w:numId w:val="18"/>
        </w:numPr>
        <w:spacing w:after="120"/>
        <w:contextualSpacing/>
        <w:jc w:val="both"/>
        <w:rPr>
          <w:rFonts w:ascii="Arial" w:hAnsi="Arial" w:cs="Arial"/>
          <w:sz w:val="18"/>
          <w:szCs w:val="18"/>
        </w:rPr>
      </w:pPr>
      <w:r w:rsidRPr="008367BC">
        <w:rPr>
          <w:rFonts w:ascii="Arial" w:hAnsi="Arial" w:cs="Arial"/>
          <w:sz w:val="18"/>
          <w:szCs w:val="18"/>
        </w:rPr>
        <w:t xml:space="preserve">dla form drzewiastych przejmowania roli przewodnika przez pędy boczne z pierwszego lub drugiego okółka, gdy jest martwy przewodnik – wyklucza się i tzw. „wilcze pędy” z części odziomkowej, </w:t>
      </w:r>
    </w:p>
    <w:p w14:paraId="196056F1" w14:textId="77777777" w:rsidR="007B538E" w:rsidRPr="008367BC" w:rsidRDefault="007B538E" w:rsidP="007B538E">
      <w:pPr>
        <w:numPr>
          <w:ilvl w:val="0"/>
          <w:numId w:val="18"/>
        </w:numPr>
        <w:spacing w:after="120"/>
        <w:contextualSpacing/>
        <w:jc w:val="both"/>
        <w:rPr>
          <w:rFonts w:ascii="Arial" w:hAnsi="Arial" w:cs="Arial"/>
          <w:sz w:val="18"/>
          <w:szCs w:val="18"/>
        </w:rPr>
      </w:pPr>
      <w:r w:rsidRPr="008367BC">
        <w:rPr>
          <w:rFonts w:ascii="Arial" w:hAnsi="Arial" w:cs="Arial"/>
          <w:sz w:val="18"/>
          <w:szCs w:val="18"/>
        </w:rPr>
        <w:t>brak korowiny na nie więcej niż 10% obwodu lub nie więcej niż 20% pędów w przypadku form krzewiastych</w:t>
      </w:r>
    </w:p>
    <w:p w14:paraId="1FF42163" w14:textId="77777777" w:rsidR="007B538E" w:rsidRPr="008367BC" w:rsidRDefault="007B538E" w:rsidP="007B538E">
      <w:pPr>
        <w:spacing w:after="120"/>
        <w:ind w:left="993"/>
        <w:jc w:val="both"/>
        <w:rPr>
          <w:rFonts w:ascii="Arial" w:hAnsi="Arial" w:cs="Arial"/>
          <w:sz w:val="18"/>
          <w:szCs w:val="18"/>
        </w:rPr>
      </w:pPr>
    </w:p>
    <w:p w14:paraId="73B19187" w14:textId="77777777" w:rsidR="007B538E" w:rsidRPr="008367BC" w:rsidRDefault="007B538E" w:rsidP="007B538E">
      <w:pPr>
        <w:pStyle w:val="Nagwek2"/>
        <w:keepLines w:val="0"/>
        <w:numPr>
          <w:ilvl w:val="0"/>
          <w:numId w:val="4"/>
        </w:numPr>
        <w:spacing w:before="0" w:after="120"/>
        <w:ind w:left="284" w:hanging="284"/>
        <w:rPr>
          <w:rFonts w:cs="Arial"/>
          <w:sz w:val="18"/>
          <w:szCs w:val="18"/>
        </w:rPr>
      </w:pPr>
      <w:bookmarkStart w:id="8" w:name="_Toc477867196"/>
      <w:r w:rsidRPr="008367BC">
        <w:rPr>
          <w:rFonts w:cs="Arial"/>
          <w:sz w:val="18"/>
          <w:szCs w:val="18"/>
        </w:rPr>
        <w:t>PREFABRYKATY BETONOWE</w:t>
      </w:r>
      <w:bookmarkEnd w:id="8"/>
    </w:p>
    <w:p w14:paraId="7E28DB94" w14:textId="77777777" w:rsidR="007B538E" w:rsidRPr="008367BC" w:rsidRDefault="007B538E" w:rsidP="007B538E">
      <w:pPr>
        <w:numPr>
          <w:ilvl w:val="1"/>
          <w:numId w:val="4"/>
        </w:numPr>
        <w:spacing w:after="120"/>
        <w:ind w:left="709" w:hanging="709"/>
        <w:jc w:val="both"/>
        <w:rPr>
          <w:rFonts w:ascii="Arial" w:hAnsi="Arial" w:cs="Arial"/>
          <w:b/>
          <w:sz w:val="18"/>
          <w:szCs w:val="18"/>
        </w:rPr>
      </w:pPr>
      <w:r w:rsidRPr="008367BC">
        <w:rPr>
          <w:rFonts w:ascii="Arial" w:hAnsi="Arial" w:cs="Arial"/>
          <w:b/>
          <w:sz w:val="18"/>
          <w:szCs w:val="18"/>
        </w:rPr>
        <w:t xml:space="preserve">Prefabrykaty betonowe </w:t>
      </w:r>
      <w:r w:rsidRPr="008367BC">
        <w:rPr>
          <w:rFonts w:ascii="Arial" w:hAnsi="Arial" w:cs="Arial"/>
          <w:sz w:val="18"/>
          <w:szCs w:val="18"/>
        </w:rPr>
        <w:t xml:space="preserve">– okres gwarancji 10 lat gwarancji </w:t>
      </w:r>
    </w:p>
    <w:p w14:paraId="007CC092" w14:textId="77777777" w:rsidR="007B538E" w:rsidRPr="008367BC" w:rsidRDefault="007B538E" w:rsidP="007B538E">
      <w:pPr>
        <w:spacing w:after="120"/>
        <w:jc w:val="both"/>
        <w:rPr>
          <w:rFonts w:ascii="Arial" w:hAnsi="Arial" w:cs="Arial"/>
          <w:sz w:val="18"/>
          <w:szCs w:val="18"/>
        </w:rPr>
      </w:pPr>
    </w:p>
    <w:p w14:paraId="4CF441A2" w14:textId="77777777" w:rsidR="007B538E" w:rsidRPr="008367BC" w:rsidRDefault="007B538E" w:rsidP="007B538E">
      <w:pPr>
        <w:numPr>
          <w:ilvl w:val="2"/>
          <w:numId w:val="4"/>
        </w:numPr>
        <w:spacing w:after="120"/>
        <w:ind w:left="709" w:hanging="709"/>
        <w:jc w:val="both"/>
        <w:rPr>
          <w:rFonts w:ascii="Arial" w:hAnsi="Arial" w:cs="Arial"/>
          <w:sz w:val="18"/>
          <w:szCs w:val="18"/>
        </w:rPr>
      </w:pPr>
      <w:r w:rsidRPr="008367BC">
        <w:rPr>
          <w:rFonts w:ascii="Arial" w:hAnsi="Arial" w:cs="Arial"/>
          <w:sz w:val="18"/>
          <w:szCs w:val="18"/>
        </w:rPr>
        <w:t>Wskaźniki:</w:t>
      </w:r>
    </w:p>
    <w:p w14:paraId="5186BE37" w14:textId="77777777" w:rsidR="007B538E" w:rsidRPr="008367BC" w:rsidRDefault="007B538E" w:rsidP="007B538E">
      <w:pPr>
        <w:spacing w:after="120"/>
        <w:ind w:left="709"/>
        <w:jc w:val="both"/>
        <w:rPr>
          <w:rFonts w:ascii="Arial" w:hAnsi="Arial" w:cs="Arial"/>
          <w:sz w:val="18"/>
          <w:szCs w:val="18"/>
        </w:rPr>
      </w:pPr>
      <w:r w:rsidRPr="008367BC">
        <w:rPr>
          <w:rFonts w:ascii="Arial" w:hAnsi="Arial" w:cs="Arial"/>
          <w:sz w:val="18"/>
          <w:szCs w:val="18"/>
        </w:rPr>
        <w:t>W trakcie trwania okresu gwarancyjnego sprawdzeniu podlegać będą uszkodzenia powierzchni.</w:t>
      </w:r>
    </w:p>
    <w:p w14:paraId="393C2B88" w14:textId="77777777" w:rsidR="007B538E" w:rsidRPr="008367BC" w:rsidRDefault="007B538E" w:rsidP="007B538E">
      <w:pPr>
        <w:spacing w:after="120"/>
        <w:jc w:val="both"/>
        <w:rPr>
          <w:rFonts w:ascii="Arial" w:hAnsi="Arial" w:cs="Arial"/>
          <w:sz w:val="18"/>
          <w:szCs w:val="18"/>
        </w:rPr>
      </w:pPr>
    </w:p>
    <w:p w14:paraId="545EDB4B" w14:textId="77777777" w:rsidR="007B538E" w:rsidRPr="008367BC" w:rsidRDefault="007B538E" w:rsidP="007B538E">
      <w:pPr>
        <w:numPr>
          <w:ilvl w:val="2"/>
          <w:numId w:val="4"/>
        </w:numPr>
        <w:spacing w:after="120"/>
        <w:ind w:left="709" w:hanging="709"/>
        <w:jc w:val="both"/>
        <w:rPr>
          <w:rFonts w:ascii="Arial" w:hAnsi="Arial" w:cs="Arial"/>
          <w:sz w:val="18"/>
          <w:szCs w:val="18"/>
        </w:rPr>
      </w:pPr>
      <w:r w:rsidRPr="008367BC">
        <w:rPr>
          <w:rFonts w:ascii="Arial" w:hAnsi="Arial" w:cs="Arial"/>
          <w:sz w:val="18"/>
          <w:szCs w:val="18"/>
        </w:rPr>
        <w:t>Dopuszczalny stopień zużycia</w:t>
      </w:r>
    </w:p>
    <w:p w14:paraId="560FB2BF" w14:textId="77777777" w:rsidR="007B538E" w:rsidRPr="008367BC" w:rsidRDefault="007B538E" w:rsidP="007B538E">
      <w:pPr>
        <w:numPr>
          <w:ilvl w:val="0"/>
          <w:numId w:val="9"/>
        </w:numPr>
        <w:spacing w:after="120"/>
        <w:ind w:left="567" w:hanging="283"/>
        <w:jc w:val="both"/>
        <w:rPr>
          <w:rFonts w:ascii="Arial" w:hAnsi="Arial" w:cs="Arial"/>
          <w:sz w:val="18"/>
          <w:szCs w:val="18"/>
        </w:rPr>
      </w:pPr>
      <w:r w:rsidRPr="008367BC">
        <w:rPr>
          <w:rFonts w:ascii="Arial" w:hAnsi="Arial" w:cs="Arial"/>
          <w:sz w:val="18"/>
          <w:szCs w:val="18"/>
        </w:rPr>
        <w:t>Prefabrykaty powierzchniowe (kostki brukowe, płyty chodnikowe)</w:t>
      </w:r>
    </w:p>
    <w:p w14:paraId="334935CF" w14:textId="77777777" w:rsidR="007B538E" w:rsidRPr="008367BC" w:rsidRDefault="007B538E" w:rsidP="007B538E">
      <w:pPr>
        <w:spacing w:after="120"/>
        <w:ind w:left="567"/>
        <w:jc w:val="both"/>
        <w:rPr>
          <w:rFonts w:ascii="Arial" w:hAnsi="Arial" w:cs="Arial"/>
          <w:sz w:val="18"/>
          <w:szCs w:val="18"/>
        </w:rPr>
      </w:pPr>
      <w:r w:rsidRPr="008367BC">
        <w:rPr>
          <w:rFonts w:ascii="Arial" w:hAnsi="Arial" w:cs="Arial"/>
          <w:sz w:val="18"/>
          <w:szCs w:val="18"/>
        </w:rPr>
        <w:t>Łączna powierzchnia uszkodzeń nie powinna być większa niż 1 % powierzchni podlegającej ocenie, a maksymalna powierzchnia pojedynczego uszkodzenia nie powinna przekraczać 0,1 m</w:t>
      </w:r>
      <w:r w:rsidRPr="008367BC">
        <w:rPr>
          <w:rFonts w:ascii="Arial" w:hAnsi="Arial" w:cs="Arial"/>
          <w:sz w:val="18"/>
          <w:szCs w:val="18"/>
          <w:vertAlign w:val="superscript"/>
        </w:rPr>
        <w:t>2</w:t>
      </w:r>
      <w:r w:rsidRPr="008367BC">
        <w:rPr>
          <w:rFonts w:ascii="Arial" w:hAnsi="Arial" w:cs="Arial"/>
          <w:sz w:val="18"/>
          <w:szCs w:val="18"/>
        </w:rPr>
        <w:t xml:space="preserve">  i nie więcej niż 5% powierzchni pojedynczego elementu. Dopuszczalna forma uszkodzeń to złuszczenia powierzchni narażonej na oddziaływanie ruchu i warunków atmosferycznych. </w:t>
      </w:r>
    </w:p>
    <w:p w14:paraId="1AA219AC" w14:textId="77777777" w:rsidR="007B538E" w:rsidRPr="008367BC" w:rsidRDefault="007B538E" w:rsidP="007B538E">
      <w:pPr>
        <w:spacing w:after="120"/>
        <w:ind w:left="567"/>
        <w:jc w:val="both"/>
        <w:rPr>
          <w:rFonts w:ascii="Arial" w:hAnsi="Arial" w:cs="Arial"/>
          <w:sz w:val="18"/>
          <w:szCs w:val="18"/>
        </w:rPr>
      </w:pPr>
      <w:r w:rsidRPr="008367BC">
        <w:rPr>
          <w:rFonts w:ascii="Arial" w:hAnsi="Arial" w:cs="Arial"/>
          <w:sz w:val="18"/>
          <w:szCs w:val="18"/>
        </w:rPr>
        <w:t>Powierzchnia odcinka podlegająca ocenie nie może przekraczać 100 m2.</w:t>
      </w:r>
    </w:p>
    <w:p w14:paraId="57BF9C4C" w14:textId="77777777" w:rsidR="007B538E" w:rsidRPr="008367BC" w:rsidRDefault="007B538E" w:rsidP="007B538E">
      <w:pPr>
        <w:numPr>
          <w:ilvl w:val="0"/>
          <w:numId w:val="9"/>
        </w:numPr>
        <w:spacing w:after="120"/>
        <w:ind w:left="567" w:hanging="283"/>
        <w:jc w:val="both"/>
        <w:rPr>
          <w:rFonts w:ascii="Arial" w:hAnsi="Arial" w:cs="Arial"/>
          <w:sz w:val="18"/>
          <w:szCs w:val="18"/>
        </w:rPr>
      </w:pPr>
      <w:r w:rsidRPr="008367BC">
        <w:rPr>
          <w:rFonts w:ascii="Arial" w:hAnsi="Arial" w:cs="Arial"/>
          <w:sz w:val="18"/>
          <w:szCs w:val="18"/>
        </w:rPr>
        <w:t>Prefabrykaty liniowe (krawężniki, obrzeża, ścieki)</w:t>
      </w:r>
    </w:p>
    <w:p w14:paraId="6CDBEE04" w14:textId="77777777" w:rsidR="007B538E" w:rsidRPr="008367BC" w:rsidRDefault="007B538E" w:rsidP="007B538E">
      <w:pPr>
        <w:spacing w:after="120"/>
        <w:ind w:left="567"/>
        <w:jc w:val="both"/>
        <w:rPr>
          <w:rFonts w:ascii="Arial" w:hAnsi="Arial" w:cs="Arial"/>
          <w:sz w:val="18"/>
          <w:szCs w:val="18"/>
        </w:rPr>
      </w:pPr>
      <w:r w:rsidRPr="008367BC">
        <w:rPr>
          <w:rFonts w:ascii="Arial" w:hAnsi="Arial" w:cs="Arial"/>
          <w:sz w:val="18"/>
          <w:szCs w:val="18"/>
        </w:rPr>
        <w:t>Łączna powierzchnia uszkodzeń nie powinna być większa niż 1 % powierzchni podlegającej ocenie, a maksymalna powierzchnia pojedynczego uszkodzenia nie powinna przekraczać 0,1 m</w:t>
      </w:r>
      <w:r w:rsidRPr="008367BC">
        <w:rPr>
          <w:rFonts w:ascii="Arial" w:hAnsi="Arial" w:cs="Arial"/>
          <w:sz w:val="18"/>
          <w:szCs w:val="18"/>
          <w:vertAlign w:val="superscript"/>
        </w:rPr>
        <w:t>2</w:t>
      </w:r>
      <w:r w:rsidRPr="008367BC">
        <w:rPr>
          <w:rFonts w:ascii="Arial" w:hAnsi="Arial" w:cs="Arial"/>
          <w:sz w:val="18"/>
          <w:szCs w:val="18"/>
        </w:rPr>
        <w:t xml:space="preserve"> i nie więcej niż 5% powierzchni pojedynczego elementu. Dopuszczalna forma uszkodzeń to złuszczenia powierzchni narażonej na oddziaływanie warunków atmosferycznych.</w:t>
      </w:r>
    </w:p>
    <w:p w14:paraId="4C470A8F" w14:textId="77777777" w:rsidR="007B538E" w:rsidRPr="008367BC" w:rsidRDefault="007B538E" w:rsidP="007B538E">
      <w:pPr>
        <w:spacing w:after="120"/>
        <w:ind w:left="567"/>
        <w:jc w:val="both"/>
        <w:rPr>
          <w:rFonts w:ascii="Arial" w:hAnsi="Arial" w:cs="Arial"/>
          <w:sz w:val="18"/>
          <w:szCs w:val="18"/>
        </w:rPr>
      </w:pPr>
      <w:r w:rsidRPr="008367BC">
        <w:rPr>
          <w:rFonts w:ascii="Arial" w:hAnsi="Arial" w:cs="Arial"/>
          <w:sz w:val="18"/>
          <w:szCs w:val="18"/>
        </w:rPr>
        <w:t xml:space="preserve">Odcinek podlegający ocenie nie może przekraczać 50 </w:t>
      </w:r>
      <w:proofErr w:type="spellStart"/>
      <w:r w:rsidRPr="008367BC">
        <w:rPr>
          <w:rFonts w:ascii="Arial" w:hAnsi="Arial" w:cs="Arial"/>
          <w:sz w:val="18"/>
          <w:szCs w:val="18"/>
        </w:rPr>
        <w:t>mb</w:t>
      </w:r>
      <w:proofErr w:type="spellEnd"/>
      <w:r w:rsidRPr="008367BC">
        <w:rPr>
          <w:rFonts w:ascii="Arial" w:hAnsi="Arial" w:cs="Arial"/>
          <w:sz w:val="18"/>
          <w:szCs w:val="18"/>
        </w:rPr>
        <w:t>.</w:t>
      </w:r>
    </w:p>
    <w:p w14:paraId="5C6CFA92" w14:textId="77777777" w:rsidR="007B538E" w:rsidRPr="008367BC" w:rsidRDefault="007B538E" w:rsidP="007B538E">
      <w:pPr>
        <w:spacing w:after="120"/>
        <w:ind w:left="567"/>
        <w:jc w:val="both"/>
        <w:rPr>
          <w:rFonts w:ascii="Arial" w:hAnsi="Arial" w:cs="Arial"/>
          <w:sz w:val="18"/>
          <w:szCs w:val="18"/>
        </w:rPr>
      </w:pPr>
    </w:p>
    <w:p w14:paraId="5BD59F16" w14:textId="77777777" w:rsidR="007B538E" w:rsidRPr="008367BC" w:rsidRDefault="007B538E" w:rsidP="007B538E">
      <w:pPr>
        <w:pStyle w:val="Nagwek2"/>
        <w:keepLines w:val="0"/>
        <w:numPr>
          <w:ilvl w:val="0"/>
          <w:numId w:val="4"/>
        </w:numPr>
        <w:spacing w:before="0" w:after="120"/>
        <w:ind w:left="284" w:hanging="284"/>
        <w:rPr>
          <w:rFonts w:cs="Arial"/>
          <w:sz w:val="18"/>
          <w:szCs w:val="18"/>
        </w:rPr>
      </w:pPr>
      <w:bookmarkStart w:id="9" w:name="_Toc477867197"/>
      <w:r w:rsidRPr="008367BC">
        <w:rPr>
          <w:rFonts w:cs="Arial"/>
          <w:sz w:val="18"/>
          <w:szCs w:val="18"/>
        </w:rPr>
        <w:t>DROGOWE OBIEKTY INŻYNIERSKIE</w:t>
      </w:r>
      <w:bookmarkEnd w:id="9"/>
    </w:p>
    <w:p w14:paraId="2D44E5FC" w14:textId="77777777" w:rsidR="007B538E" w:rsidRPr="008367BC" w:rsidRDefault="007B538E" w:rsidP="007B538E">
      <w:pPr>
        <w:pStyle w:val="Akapitzlist"/>
        <w:spacing w:after="120"/>
        <w:ind w:left="1080"/>
        <w:jc w:val="both"/>
        <w:rPr>
          <w:rFonts w:ascii="Arial" w:hAnsi="Arial" w:cs="Arial"/>
          <w:sz w:val="18"/>
          <w:szCs w:val="18"/>
          <w:lang w:val="pl-PL"/>
        </w:rPr>
      </w:pPr>
    </w:p>
    <w:p w14:paraId="28FD4BE3" w14:textId="77777777" w:rsidR="007B538E" w:rsidRPr="008367BC" w:rsidRDefault="007B538E" w:rsidP="007B538E">
      <w:pPr>
        <w:numPr>
          <w:ilvl w:val="1"/>
          <w:numId w:val="4"/>
        </w:numPr>
        <w:spacing w:after="120"/>
        <w:ind w:left="709" w:hanging="709"/>
        <w:jc w:val="both"/>
        <w:rPr>
          <w:rFonts w:ascii="Arial" w:hAnsi="Arial" w:cs="Arial"/>
          <w:sz w:val="18"/>
          <w:szCs w:val="18"/>
        </w:rPr>
      </w:pPr>
      <w:r w:rsidRPr="008367BC">
        <w:rPr>
          <w:rFonts w:ascii="Arial" w:hAnsi="Arial" w:cs="Arial"/>
          <w:b/>
          <w:sz w:val="18"/>
          <w:szCs w:val="18"/>
        </w:rPr>
        <w:t>Pozostałe obiekty inżynierskie</w:t>
      </w:r>
      <w:r w:rsidRPr="008367BC">
        <w:rPr>
          <w:rFonts w:ascii="Arial" w:hAnsi="Arial" w:cs="Arial"/>
          <w:sz w:val="18"/>
          <w:szCs w:val="18"/>
        </w:rPr>
        <w:t xml:space="preserve"> – okres gwarancji: 10 lat</w:t>
      </w:r>
    </w:p>
    <w:p w14:paraId="1854FCA3" w14:textId="77777777" w:rsidR="007B538E" w:rsidRPr="008367BC" w:rsidRDefault="007B538E" w:rsidP="007B538E">
      <w:pPr>
        <w:spacing w:after="120"/>
        <w:jc w:val="both"/>
        <w:rPr>
          <w:rFonts w:ascii="Arial" w:hAnsi="Arial" w:cs="Arial"/>
          <w:sz w:val="18"/>
          <w:szCs w:val="18"/>
        </w:rPr>
      </w:pPr>
      <w:r w:rsidRPr="008367BC">
        <w:rPr>
          <w:rFonts w:ascii="Arial" w:hAnsi="Arial" w:cs="Arial"/>
          <w:sz w:val="18"/>
          <w:szCs w:val="18"/>
        </w:rPr>
        <w:t>Do pozostałych obiektów inżynierskich zalicza się:</w:t>
      </w:r>
    </w:p>
    <w:p w14:paraId="0F6CC366" w14:textId="77777777" w:rsidR="007B538E" w:rsidRPr="008367BC" w:rsidRDefault="007B538E" w:rsidP="007B538E">
      <w:pPr>
        <w:numPr>
          <w:ilvl w:val="0"/>
          <w:numId w:val="10"/>
        </w:numPr>
        <w:spacing w:after="120"/>
        <w:ind w:left="993" w:hanging="284"/>
        <w:jc w:val="both"/>
        <w:rPr>
          <w:rFonts w:ascii="Arial" w:hAnsi="Arial" w:cs="Arial"/>
          <w:sz w:val="18"/>
          <w:szCs w:val="18"/>
        </w:rPr>
      </w:pPr>
      <w:r w:rsidRPr="008367BC">
        <w:rPr>
          <w:rFonts w:ascii="Arial" w:hAnsi="Arial" w:cs="Arial"/>
          <w:sz w:val="18"/>
          <w:szCs w:val="18"/>
        </w:rPr>
        <w:t>obiekty mostowe, a w tym: mosty, wiadukty, estakady, kładki dla pieszych,</w:t>
      </w:r>
    </w:p>
    <w:p w14:paraId="5A90CCC9" w14:textId="77777777" w:rsidR="007B538E" w:rsidRPr="008367BC" w:rsidRDefault="007B538E" w:rsidP="007B538E">
      <w:pPr>
        <w:numPr>
          <w:ilvl w:val="0"/>
          <w:numId w:val="10"/>
        </w:numPr>
        <w:spacing w:after="120"/>
        <w:ind w:left="993" w:hanging="284"/>
        <w:jc w:val="both"/>
        <w:rPr>
          <w:rFonts w:ascii="Arial" w:hAnsi="Arial" w:cs="Arial"/>
          <w:sz w:val="18"/>
          <w:szCs w:val="18"/>
        </w:rPr>
      </w:pPr>
      <w:r w:rsidRPr="008367BC">
        <w:rPr>
          <w:rFonts w:ascii="Arial" w:hAnsi="Arial" w:cs="Arial"/>
          <w:sz w:val="18"/>
          <w:szCs w:val="18"/>
        </w:rPr>
        <w:t>tunele, a w tym: tunele drogowe, przejścia podziemne (z wyłączeniem tunelu drogowego określonego w pkt. 5.1),</w:t>
      </w:r>
    </w:p>
    <w:p w14:paraId="000D25B9" w14:textId="77777777" w:rsidR="007B538E" w:rsidRPr="008367BC" w:rsidRDefault="007B538E" w:rsidP="007B538E">
      <w:pPr>
        <w:numPr>
          <w:ilvl w:val="0"/>
          <w:numId w:val="10"/>
        </w:numPr>
        <w:spacing w:after="120"/>
        <w:ind w:left="993" w:hanging="284"/>
        <w:jc w:val="both"/>
        <w:rPr>
          <w:rFonts w:ascii="Arial" w:hAnsi="Arial" w:cs="Arial"/>
          <w:sz w:val="18"/>
          <w:szCs w:val="18"/>
        </w:rPr>
      </w:pPr>
      <w:r w:rsidRPr="008367BC">
        <w:rPr>
          <w:rFonts w:ascii="Arial" w:hAnsi="Arial" w:cs="Arial"/>
          <w:sz w:val="18"/>
          <w:szCs w:val="18"/>
        </w:rPr>
        <w:t>przepusty,</w:t>
      </w:r>
    </w:p>
    <w:p w14:paraId="136CD080" w14:textId="77777777" w:rsidR="007B538E" w:rsidRPr="008367BC" w:rsidRDefault="007B538E" w:rsidP="007B538E">
      <w:pPr>
        <w:numPr>
          <w:ilvl w:val="0"/>
          <w:numId w:val="10"/>
        </w:numPr>
        <w:spacing w:after="120"/>
        <w:ind w:left="993" w:hanging="284"/>
        <w:jc w:val="both"/>
        <w:rPr>
          <w:rFonts w:ascii="Arial" w:hAnsi="Arial" w:cs="Arial"/>
          <w:sz w:val="18"/>
          <w:szCs w:val="18"/>
        </w:rPr>
      </w:pPr>
      <w:r w:rsidRPr="008367BC">
        <w:rPr>
          <w:rFonts w:ascii="Arial" w:hAnsi="Arial" w:cs="Arial"/>
          <w:sz w:val="18"/>
          <w:szCs w:val="18"/>
        </w:rPr>
        <w:lastRenderedPageBreak/>
        <w:t>konstrukcje oporowe.</w:t>
      </w:r>
    </w:p>
    <w:p w14:paraId="50876B02" w14:textId="77777777" w:rsidR="007B538E" w:rsidRPr="008367BC" w:rsidRDefault="007B538E" w:rsidP="007B538E">
      <w:pPr>
        <w:spacing w:after="120"/>
        <w:ind w:left="993"/>
        <w:jc w:val="both"/>
        <w:rPr>
          <w:rFonts w:ascii="Arial" w:hAnsi="Arial" w:cs="Arial"/>
          <w:sz w:val="18"/>
          <w:szCs w:val="18"/>
        </w:rPr>
      </w:pPr>
    </w:p>
    <w:p w14:paraId="76210F2C" w14:textId="77777777" w:rsidR="007B538E" w:rsidRPr="008367BC" w:rsidRDefault="007B538E" w:rsidP="007B538E">
      <w:pPr>
        <w:numPr>
          <w:ilvl w:val="1"/>
          <w:numId w:val="4"/>
        </w:numPr>
        <w:spacing w:after="120"/>
        <w:ind w:left="709" w:hanging="709"/>
        <w:jc w:val="both"/>
        <w:rPr>
          <w:rFonts w:ascii="Arial" w:hAnsi="Arial" w:cs="Arial"/>
          <w:b/>
          <w:sz w:val="18"/>
          <w:szCs w:val="18"/>
        </w:rPr>
      </w:pPr>
      <w:r w:rsidRPr="008367BC">
        <w:rPr>
          <w:rFonts w:ascii="Arial" w:hAnsi="Arial" w:cs="Arial"/>
          <w:sz w:val="18"/>
          <w:szCs w:val="18"/>
        </w:rPr>
        <w:t xml:space="preserve"> </w:t>
      </w:r>
      <w:r w:rsidRPr="008367BC">
        <w:rPr>
          <w:rFonts w:ascii="Arial" w:hAnsi="Arial" w:cs="Arial"/>
          <w:b/>
          <w:sz w:val="18"/>
          <w:szCs w:val="18"/>
        </w:rPr>
        <w:t>Wskaźniki</w:t>
      </w:r>
    </w:p>
    <w:p w14:paraId="6D5004BE" w14:textId="77777777" w:rsidR="007B538E" w:rsidRPr="008367BC" w:rsidRDefault="007B538E" w:rsidP="007B538E">
      <w:pPr>
        <w:spacing w:after="120"/>
        <w:ind w:left="709"/>
        <w:jc w:val="both"/>
        <w:rPr>
          <w:rFonts w:ascii="Arial" w:hAnsi="Arial" w:cs="Arial"/>
          <w:b/>
          <w:sz w:val="18"/>
          <w:szCs w:val="18"/>
        </w:rPr>
      </w:pPr>
    </w:p>
    <w:p w14:paraId="31D2CD4F" w14:textId="77777777" w:rsidR="007B538E" w:rsidRPr="008367BC" w:rsidRDefault="007B538E" w:rsidP="007B538E">
      <w:pPr>
        <w:numPr>
          <w:ilvl w:val="2"/>
          <w:numId w:val="19"/>
        </w:numPr>
        <w:spacing w:after="120"/>
        <w:ind w:left="709" w:hanging="709"/>
        <w:jc w:val="both"/>
        <w:rPr>
          <w:rFonts w:ascii="Arial" w:hAnsi="Arial" w:cs="Arial"/>
          <w:sz w:val="18"/>
          <w:szCs w:val="18"/>
        </w:rPr>
      </w:pPr>
      <w:r w:rsidRPr="008367BC">
        <w:rPr>
          <w:rFonts w:ascii="Arial" w:hAnsi="Arial" w:cs="Arial"/>
          <w:sz w:val="18"/>
          <w:szCs w:val="18"/>
        </w:rPr>
        <w:t>Ocena stanu technicznego, każdego elementu drogowego obiektu inżynierskiego, podlegać będzie ocenie zgodnie z „Instrukcją przeprowadzania przeglądów podstawowych i rozszerzonych drogowych obiektów inżynierskich” wprowadzoną do stosowania Zarządzeniem nr 14 Generalnego Dyrektora Dróg Krajowych i Autostrad z dnia 7 lipca 2005 r. z późniejszymi zmianami.</w:t>
      </w:r>
    </w:p>
    <w:p w14:paraId="7F1B12E8" w14:textId="77777777" w:rsidR="007B538E" w:rsidRPr="008367BC" w:rsidRDefault="007B538E" w:rsidP="007B538E">
      <w:pPr>
        <w:spacing w:after="120"/>
        <w:ind w:left="709"/>
        <w:jc w:val="both"/>
        <w:rPr>
          <w:rFonts w:ascii="Arial" w:hAnsi="Arial" w:cs="Arial"/>
          <w:sz w:val="18"/>
          <w:szCs w:val="18"/>
        </w:rPr>
      </w:pPr>
    </w:p>
    <w:p w14:paraId="4CB14BDC" w14:textId="77777777" w:rsidR="007B538E" w:rsidRPr="008367BC" w:rsidRDefault="007B538E" w:rsidP="007B538E">
      <w:pPr>
        <w:numPr>
          <w:ilvl w:val="2"/>
          <w:numId w:val="19"/>
        </w:numPr>
        <w:spacing w:after="120"/>
        <w:ind w:left="709" w:hanging="709"/>
        <w:jc w:val="both"/>
        <w:rPr>
          <w:rFonts w:ascii="Arial" w:hAnsi="Arial" w:cs="Arial"/>
          <w:sz w:val="18"/>
          <w:szCs w:val="18"/>
        </w:rPr>
      </w:pPr>
      <w:r w:rsidRPr="008367BC">
        <w:rPr>
          <w:rFonts w:ascii="Arial" w:hAnsi="Arial" w:cs="Arial"/>
          <w:sz w:val="18"/>
          <w:szCs w:val="18"/>
        </w:rPr>
        <w:t>Skala i kryteria ocen punktowych stanu technicznego każdego elementu drogowego obiektu inżynierskiego, podlegać będzie ocenie zgodnie z „Zasadami stosowania skali ocen punktowych stanu technicznego i przydatności do użytkowania drogowych obiektów inżynierskich” wprowadzonymi do stosowania Zarządzeniem Nr 64 Generalnego Dyrektora Dróg Krajowych i Autostrad z dnia 13 listopada 2008 r.</w:t>
      </w:r>
    </w:p>
    <w:p w14:paraId="48B8213F" w14:textId="77777777" w:rsidR="007B538E" w:rsidRPr="008367BC" w:rsidRDefault="007B538E" w:rsidP="007B538E">
      <w:pPr>
        <w:pStyle w:val="Akapitzlist"/>
        <w:rPr>
          <w:rFonts w:ascii="Arial" w:hAnsi="Arial" w:cs="Arial"/>
          <w:sz w:val="18"/>
          <w:szCs w:val="18"/>
          <w:lang w:val="pl-PL"/>
        </w:rPr>
      </w:pPr>
    </w:p>
    <w:p w14:paraId="5AE03E0F" w14:textId="77777777" w:rsidR="007B538E" w:rsidRPr="008367BC" w:rsidRDefault="007B538E" w:rsidP="007B538E">
      <w:pPr>
        <w:spacing w:after="120"/>
        <w:ind w:left="709"/>
        <w:jc w:val="both"/>
        <w:rPr>
          <w:rFonts w:ascii="Arial" w:hAnsi="Arial" w:cs="Arial"/>
          <w:sz w:val="18"/>
          <w:szCs w:val="18"/>
        </w:rPr>
      </w:pPr>
    </w:p>
    <w:p w14:paraId="67B9ACEC" w14:textId="77777777" w:rsidR="007B538E" w:rsidRPr="008367BC" w:rsidRDefault="007B538E" w:rsidP="007B538E">
      <w:pPr>
        <w:numPr>
          <w:ilvl w:val="2"/>
          <w:numId w:val="19"/>
        </w:numPr>
        <w:spacing w:after="120"/>
        <w:ind w:left="709" w:hanging="709"/>
        <w:jc w:val="both"/>
        <w:rPr>
          <w:rFonts w:ascii="Arial" w:hAnsi="Arial" w:cs="Arial"/>
          <w:sz w:val="18"/>
          <w:szCs w:val="18"/>
        </w:rPr>
      </w:pPr>
      <w:r w:rsidRPr="008367BC">
        <w:rPr>
          <w:rFonts w:ascii="Arial" w:hAnsi="Arial" w:cs="Arial"/>
          <w:sz w:val="18"/>
          <w:szCs w:val="18"/>
        </w:rPr>
        <w:t>Końcową oceną stanu technicznego każdego elementu drogowego obiektu inżynierskiego będzie najniższa ocena za każdy rodzaj uszkodzeń przewidzianych dla tego elementu zgodnie z „Zasadami stosowania skali ocen punktowych stanu technicznego i przydatności do użytkowania drogowych obiektów inżynierskich”.</w:t>
      </w:r>
    </w:p>
    <w:p w14:paraId="592BD404" w14:textId="77777777" w:rsidR="007B538E" w:rsidRPr="008367BC" w:rsidRDefault="007B538E" w:rsidP="007B538E">
      <w:pPr>
        <w:spacing w:after="120"/>
        <w:ind w:left="709"/>
        <w:jc w:val="both"/>
        <w:rPr>
          <w:rFonts w:ascii="Arial" w:hAnsi="Arial" w:cs="Arial"/>
          <w:sz w:val="18"/>
          <w:szCs w:val="18"/>
        </w:rPr>
      </w:pPr>
    </w:p>
    <w:p w14:paraId="01718815" w14:textId="77777777" w:rsidR="007B538E" w:rsidRPr="008367BC" w:rsidRDefault="007B538E" w:rsidP="007B538E">
      <w:pPr>
        <w:numPr>
          <w:ilvl w:val="2"/>
          <w:numId w:val="19"/>
        </w:numPr>
        <w:spacing w:after="120"/>
        <w:ind w:left="709" w:hanging="709"/>
        <w:jc w:val="both"/>
        <w:rPr>
          <w:rFonts w:ascii="Arial" w:hAnsi="Arial" w:cs="Arial"/>
          <w:sz w:val="18"/>
          <w:szCs w:val="18"/>
        </w:rPr>
      </w:pPr>
      <w:r w:rsidRPr="008367BC">
        <w:rPr>
          <w:rFonts w:ascii="Arial" w:hAnsi="Arial" w:cs="Arial"/>
          <w:sz w:val="18"/>
          <w:szCs w:val="18"/>
        </w:rPr>
        <w:t>W końcowej ocenie stanu technicznego każdego elementu nie będą uwzględniane jako rodzaj uszkodzenia – zanieczyszczenia lub wegetacja roślin (wegetacja roślin w zakresie, który nie wynika z zapisów części szczegółowej pkt 4), zgodnie z katalogiem uszkodzeń zawartym w „Instrukcji przeprowadzania przeglądów podstawowych i rozszerzonych drogowych obiektów inżynierskich”.</w:t>
      </w:r>
    </w:p>
    <w:p w14:paraId="7B7E2CF2" w14:textId="77777777" w:rsidR="007B538E" w:rsidRPr="008367BC" w:rsidRDefault="007B538E" w:rsidP="007B538E">
      <w:pPr>
        <w:pStyle w:val="Akapitzlist"/>
        <w:rPr>
          <w:rFonts w:ascii="Arial" w:hAnsi="Arial" w:cs="Arial"/>
          <w:sz w:val="18"/>
          <w:szCs w:val="18"/>
          <w:lang w:val="pl-PL"/>
        </w:rPr>
      </w:pPr>
    </w:p>
    <w:p w14:paraId="328F3D45" w14:textId="77777777" w:rsidR="007B538E" w:rsidRPr="008367BC" w:rsidRDefault="007B538E" w:rsidP="007B538E">
      <w:pPr>
        <w:spacing w:after="120"/>
        <w:ind w:left="709"/>
        <w:jc w:val="both"/>
        <w:rPr>
          <w:rFonts w:ascii="Arial" w:hAnsi="Arial" w:cs="Arial"/>
          <w:sz w:val="18"/>
          <w:szCs w:val="18"/>
        </w:rPr>
      </w:pPr>
    </w:p>
    <w:p w14:paraId="3C2E6119" w14:textId="77777777" w:rsidR="007B538E" w:rsidRPr="008367BC" w:rsidRDefault="007B538E" w:rsidP="007B538E">
      <w:pPr>
        <w:numPr>
          <w:ilvl w:val="2"/>
          <w:numId w:val="19"/>
        </w:numPr>
        <w:spacing w:after="120"/>
        <w:ind w:left="709" w:hanging="709"/>
        <w:jc w:val="both"/>
        <w:rPr>
          <w:rFonts w:ascii="Arial" w:hAnsi="Arial" w:cs="Arial"/>
          <w:sz w:val="18"/>
          <w:szCs w:val="18"/>
        </w:rPr>
      </w:pPr>
      <w:r w:rsidRPr="008367BC">
        <w:rPr>
          <w:rFonts w:ascii="Arial" w:hAnsi="Arial" w:cs="Arial"/>
          <w:sz w:val="18"/>
          <w:szCs w:val="18"/>
        </w:rPr>
        <w:t>Do oceny elementów nie będą wliczane oceny cząstkowe dotyczące rodzaju uszkodzeń (zgodnie z „Zasadami stosowania skali ocen punktowych stanu technicznego i przydatności do użytkowania drogowych obiektów inżynierskich”), które wystąpiły na skutek zdarzeń losowych, tj. uszkodzeń elementów konstrukcji obiektu niewynikających z warunków normalnej eksploatacji.</w:t>
      </w:r>
    </w:p>
    <w:p w14:paraId="5A4FDE89" w14:textId="77777777" w:rsidR="007B538E" w:rsidRPr="008367BC" w:rsidRDefault="007B538E" w:rsidP="007B538E">
      <w:pPr>
        <w:spacing w:after="120"/>
        <w:ind w:left="709"/>
        <w:jc w:val="both"/>
        <w:rPr>
          <w:rFonts w:ascii="Arial" w:hAnsi="Arial" w:cs="Arial"/>
          <w:sz w:val="18"/>
          <w:szCs w:val="18"/>
        </w:rPr>
      </w:pPr>
    </w:p>
    <w:p w14:paraId="45192189" w14:textId="77777777" w:rsidR="007B538E" w:rsidRPr="008367BC" w:rsidRDefault="007B538E" w:rsidP="007B538E">
      <w:pPr>
        <w:numPr>
          <w:ilvl w:val="1"/>
          <w:numId w:val="4"/>
        </w:numPr>
        <w:spacing w:after="120"/>
        <w:ind w:left="709" w:hanging="709"/>
        <w:jc w:val="both"/>
        <w:rPr>
          <w:rFonts w:ascii="Arial" w:hAnsi="Arial" w:cs="Arial"/>
          <w:b/>
          <w:sz w:val="18"/>
          <w:szCs w:val="18"/>
        </w:rPr>
      </w:pPr>
      <w:r w:rsidRPr="008367BC">
        <w:rPr>
          <w:rFonts w:ascii="Arial" w:hAnsi="Arial" w:cs="Arial"/>
          <w:b/>
          <w:sz w:val="18"/>
          <w:szCs w:val="18"/>
        </w:rPr>
        <w:t>Ocena stopnia zużycia</w:t>
      </w:r>
    </w:p>
    <w:p w14:paraId="70285098" w14:textId="77777777" w:rsidR="007B538E" w:rsidRPr="008367BC" w:rsidRDefault="007B538E" w:rsidP="007B538E">
      <w:pPr>
        <w:spacing w:after="120"/>
        <w:jc w:val="both"/>
        <w:rPr>
          <w:rFonts w:ascii="Arial" w:hAnsi="Arial" w:cs="Arial"/>
          <w:sz w:val="18"/>
          <w:szCs w:val="18"/>
        </w:rPr>
      </w:pPr>
      <w:r w:rsidRPr="008367BC">
        <w:rPr>
          <w:rFonts w:ascii="Arial" w:hAnsi="Arial" w:cs="Arial"/>
          <w:sz w:val="18"/>
          <w:szCs w:val="18"/>
        </w:rPr>
        <w:t>Nie dopuszcza się niższej oceny niż 4 pkt w trakcie trwania okresu gwarancji, dla stanu technicznego każdego elementu, podlegającego ocenie zgodnie z „Instrukcją przeprowadzania przeglądów podstawowych i rozszerzonych drogowych obiektów inżynierskich” oraz „Zasadami stosowania skali ocen punktowych stanu technicznego i przydatności do użytkowania drogowych obiektów inżynierskich”.</w:t>
      </w:r>
    </w:p>
    <w:p w14:paraId="55A8D087" w14:textId="77777777" w:rsidR="007B538E" w:rsidRPr="008367BC" w:rsidRDefault="007B538E" w:rsidP="007B538E">
      <w:pPr>
        <w:spacing w:after="120"/>
        <w:jc w:val="both"/>
        <w:rPr>
          <w:rFonts w:ascii="Arial" w:hAnsi="Arial" w:cs="Arial"/>
          <w:sz w:val="18"/>
          <w:szCs w:val="18"/>
        </w:rPr>
      </w:pPr>
    </w:p>
    <w:p w14:paraId="4854A7E1" w14:textId="77777777" w:rsidR="007B538E" w:rsidRPr="008367BC" w:rsidRDefault="007B538E" w:rsidP="007B538E">
      <w:pPr>
        <w:spacing w:after="120"/>
        <w:jc w:val="both"/>
        <w:rPr>
          <w:rFonts w:ascii="Arial" w:hAnsi="Arial" w:cs="Arial"/>
          <w:sz w:val="18"/>
          <w:szCs w:val="18"/>
        </w:rPr>
      </w:pPr>
      <w:r w:rsidRPr="008367BC">
        <w:rPr>
          <w:rFonts w:ascii="Arial" w:hAnsi="Arial" w:cs="Arial"/>
          <w:sz w:val="18"/>
          <w:szCs w:val="18"/>
        </w:rPr>
        <w:t>Przy powyższej ocenie nie będą brane pod uwagę uszkodzenia mechaniczne i czynniki niezależne od Wykonawcy wpływające na estetykę, tj. zanieczyszczenia, wegetacja roślin, graffiti.</w:t>
      </w:r>
    </w:p>
    <w:p w14:paraId="72B93E99" w14:textId="77777777" w:rsidR="007B538E" w:rsidRPr="008367BC" w:rsidRDefault="007B538E" w:rsidP="007B538E">
      <w:pPr>
        <w:spacing w:after="120"/>
        <w:jc w:val="both"/>
        <w:rPr>
          <w:rFonts w:ascii="Arial" w:hAnsi="Arial" w:cs="Arial"/>
          <w:strike/>
          <w:sz w:val="18"/>
          <w:szCs w:val="18"/>
        </w:rPr>
      </w:pPr>
    </w:p>
    <w:p w14:paraId="47A367F2" w14:textId="77777777" w:rsidR="007B538E" w:rsidRPr="008367BC" w:rsidRDefault="007B538E" w:rsidP="007B538E">
      <w:pPr>
        <w:spacing w:after="120"/>
        <w:jc w:val="both"/>
        <w:rPr>
          <w:rFonts w:ascii="Arial" w:hAnsi="Arial" w:cs="Arial"/>
          <w:strike/>
          <w:sz w:val="18"/>
          <w:szCs w:val="18"/>
        </w:rPr>
      </w:pPr>
    </w:p>
    <w:p w14:paraId="62D78C33" w14:textId="77777777" w:rsidR="007B538E" w:rsidRPr="008367BC" w:rsidRDefault="007B538E" w:rsidP="007B538E">
      <w:pPr>
        <w:pStyle w:val="Nagwek2"/>
        <w:keepLines w:val="0"/>
        <w:numPr>
          <w:ilvl w:val="0"/>
          <w:numId w:val="4"/>
        </w:numPr>
        <w:spacing w:before="0" w:after="120"/>
        <w:ind w:left="284" w:hanging="284"/>
        <w:rPr>
          <w:rFonts w:cs="Arial"/>
          <w:sz w:val="18"/>
          <w:szCs w:val="18"/>
        </w:rPr>
      </w:pPr>
      <w:bookmarkStart w:id="10" w:name="_Toc474308802"/>
      <w:bookmarkStart w:id="11" w:name="_Toc477867198"/>
      <w:r w:rsidRPr="008367BC">
        <w:rPr>
          <w:rFonts w:cs="Arial"/>
          <w:sz w:val="18"/>
          <w:szCs w:val="18"/>
        </w:rPr>
        <w:t>OŚWIETLENIE DROGOWE</w:t>
      </w:r>
      <w:bookmarkEnd w:id="10"/>
      <w:bookmarkEnd w:id="11"/>
    </w:p>
    <w:p w14:paraId="022A5FD7" w14:textId="77777777" w:rsidR="007B538E" w:rsidRPr="008367BC" w:rsidRDefault="007B538E" w:rsidP="007B538E">
      <w:pPr>
        <w:spacing w:after="120"/>
        <w:jc w:val="both"/>
        <w:rPr>
          <w:rFonts w:ascii="Arial" w:hAnsi="Arial" w:cs="Arial"/>
          <w:sz w:val="18"/>
          <w:szCs w:val="18"/>
        </w:rPr>
      </w:pPr>
    </w:p>
    <w:p w14:paraId="2EAB7062" w14:textId="77777777" w:rsidR="007B538E" w:rsidRPr="008367BC" w:rsidRDefault="007B538E" w:rsidP="007B538E">
      <w:pPr>
        <w:pStyle w:val="Akapitzlist"/>
        <w:widowControl/>
        <w:numPr>
          <w:ilvl w:val="0"/>
          <w:numId w:val="15"/>
        </w:numPr>
        <w:spacing w:after="120"/>
        <w:jc w:val="both"/>
        <w:rPr>
          <w:rFonts w:ascii="Arial" w:hAnsi="Arial" w:cs="Arial"/>
          <w:b/>
          <w:vanish/>
          <w:sz w:val="18"/>
          <w:szCs w:val="18"/>
        </w:rPr>
      </w:pPr>
    </w:p>
    <w:p w14:paraId="020318B4" w14:textId="77777777" w:rsidR="007B538E" w:rsidRPr="008367BC" w:rsidRDefault="007B538E" w:rsidP="007B538E">
      <w:pPr>
        <w:pStyle w:val="Akapitzlist"/>
        <w:widowControl/>
        <w:numPr>
          <w:ilvl w:val="0"/>
          <w:numId w:val="15"/>
        </w:numPr>
        <w:spacing w:after="120"/>
        <w:jc w:val="both"/>
        <w:rPr>
          <w:rFonts w:ascii="Arial" w:hAnsi="Arial" w:cs="Arial"/>
          <w:b/>
          <w:vanish/>
          <w:sz w:val="18"/>
          <w:szCs w:val="18"/>
        </w:rPr>
      </w:pPr>
    </w:p>
    <w:p w14:paraId="4BD7653E" w14:textId="77777777" w:rsidR="007B538E" w:rsidRPr="008367BC" w:rsidRDefault="007B538E" w:rsidP="007B538E">
      <w:pPr>
        <w:pStyle w:val="Akapitzlist"/>
        <w:widowControl/>
        <w:numPr>
          <w:ilvl w:val="0"/>
          <w:numId w:val="15"/>
        </w:numPr>
        <w:spacing w:after="120"/>
        <w:jc w:val="both"/>
        <w:rPr>
          <w:rFonts w:ascii="Arial" w:hAnsi="Arial" w:cs="Arial"/>
          <w:b/>
          <w:vanish/>
          <w:sz w:val="18"/>
          <w:szCs w:val="18"/>
        </w:rPr>
      </w:pPr>
    </w:p>
    <w:p w14:paraId="2153C9AE" w14:textId="77777777" w:rsidR="007B538E" w:rsidRPr="008367BC" w:rsidRDefault="007B538E" w:rsidP="007B538E">
      <w:pPr>
        <w:pStyle w:val="Akapitzlist"/>
        <w:widowControl/>
        <w:numPr>
          <w:ilvl w:val="0"/>
          <w:numId w:val="15"/>
        </w:numPr>
        <w:spacing w:after="120"/>
        <w:jc w:val="both"/>
        <w:rPr>
          <w:rFonts w:ascii="Arial" w:hAnsi="Arial" w:cs="Arial"/>
          <w:b/>
          <w:vanish/>
          <w:sz w:val="18"/>
          <w:szCs w:val="18"/>
        </w:rPr>
      </w:pPr>
    </w:p>
    <w:p w14:paraId="266CCDA3" w14:textId="77777777" w:rsidR="007B538E" w:rsidRPr="008367BC" w:rsidRDefault="007B538E" w:rsidP="007B538E">
      <w:pPr>
        <w:numPr>
          <w:ilvl w:val="1"/>
          <w:numId w:val="15"/>
        </w:numPr>
        <w:spacing w:after="120"/>
        <w:ind w:left="720"/>
        <w:jc w:val="both"/>
        <w:rPr>
          <w:rFonts w:ascii="Arial" w:hAnsi="Arial" w:cs="Arial"/>
          <w:b/>
          <w:sz w:val="18"/>
          <w:szCs w:val="18"/>
        </w:rPr>
      </w:pPr>
      <w:r w:rsidRPr="008367BC">
        <w:rPr>
          <w:rFonts w:ascii="Arial" w:hAnsi="Arial" w:cs="Arial"/>
          <w:b/>
          <w:sz w:val="18"/>
          <w:szCs w:val="18"/>
        </w:rPr>
        <w:t>Oprawy i źródła światła</w:t>
      </w:r>
    </w:p>
    <w:p w14:paraId="3719AD3F" w14:textId="77777777" w:rsidR="007B538E" w:rsidRPr="008367BC" w:rsidRDefault="007B538E" w:rsidP="007B538E">
      <w:pPr>
        <w:spacing w:after="120"/>
        <w:ind w:left="851" w:hanging="142"/>
        <w:jc w:val="both"/>
        <w:rPr>
          <w:rFonts w:ascii="Arial" w:hAnsi="Arial" w:cs="Arial"/>
          <w:sz w:val="18"/>
          <w:szCs w:val="18"/>
        </w:rPr>
      </w:pPr>
      <w:r w:rsidRPr="008367BC">
        <w:rPr>
          <w:rFonts w:ascii="Arial" w:hAnsi="Arial" w:cs="Arial"/>
          <w:sz w:val="18"/>
          <w:szCs w:val="18"/>
        </w:rPr>
        <w:t>- oprawy typu LED - 7 lat gwarancji,</w:t>
      </w:r>
    </w:p>
    <w:p w14:paraId="6F182B37" w14:textId="77777777" w:rsidR="007B538E" w:rsidRPr="008367BC" w:rsidRDefault="007B538E" w:rsidP="007B538E">
      <w:pPr>
        <w:spacing w:after="120"/>
        <w:ind w:left="851" w:hanging="142"/>
        <w:jc w:val="both"/>
        <w:rPr>
          <w:rFonts w:ascii="Arial" w:hAnsi="Arial" w:cs="Arial"/>
          <w:sz w:val="18"/>
          <w:szCs w:val="18"/>
        </w:rPr>
      </w:pPr>
      <w:r w:rsidRPr="008367BC">
        <w:rPr>
          <w:rFonts w:ascii="Arial" w:hAnsi="Arial" w:cs="Arial"/>
          <w:sz w:val="18"/>
          <w:szCs w:val="18"/>
        </w:rPr>
        <w:t>- oprawy klasyczne wykorzystujące lampy sodowe - 5 lat gwarancji,</w:t>
      </w:r>
    </w:p>
    <w:p w14:paraId="0D3EDB50" w14:textId="77777777" w:rsidR="007B538E" w:rsidRPr="008367BC" w:rsidRDefault="007B538E" w:rsidP="007B538E">
      <w:pPr>
        <w:spacing w:after="120"/>
        <w:ind w:left="851" w:hanging="142"/>
        <w:jc w:val="both"/>
        <w:rPr>
          <w:rFonts w:ascii="Arial" w:hAnsi="Arial" w:cs="Arial"/>
          <w:sz w:val="18"/>
          <w:szCs w:val="18"/>
        </w:rPr>
      </w:pPr>
      <w:r w:rsidRPr="008367BC">
        <w:rPr>
          <w:rFonts w:ascii="Arial" w:hAnsi="Arial" w:cs="Arial"/>
          <w:sz w:val="18"/>
          <w:szCs w:val="18"/>
        </w:rPr>
        <w:t xml:space="preserve">- oprawy klasyczne wykorzystujące lampy </w:t>
      </w:r>
      <w:proofErr w:type="spellStart"/>
      <w:r w:rsidRPr="008367BC">
        <w:rPr>
          <w:rFonts w:ascii="Arial" w:hAnsi="Arial" w:cs="Arial"/>
          <w:sz w:val="18"/>
          <w:szCs w:val="18"/>
        </w:rPr>
        <w:t>metahalogenkowe</w:t>
      </w:r>
      <w:proofErr w:type="spellEnd"/>
      <w:r w:rsidRPr="008367BC">
        <w:rPr>
          <w:rFonts w:ascii="Arial" w:hAnsi="Arial" w:cs="Arial"/>
          <w:sz w:val="18"/>
          <w:szCs w:val="18"/>
        </w:rPr>
        <w:t xml:space="preserve"> - 4 lata gwarancji.</w:t>
      </w:r>
    </w:p>
    <w:p w14:paraId="3F704921" w14:textId="77777777" w:rsidR="007B538E" w:rsidRPr="008367BC" w:rsidRDefault="007B538E" w:rsidP="007B538E">
      <w:pPr>
        <w:spacing w:after="120"/>
        <w:ind w:left="851" w:hanging="142"/>
        <w:jc w:val="both"/>
        <w:rPr>
          <w:rFonts w:ascii="Arial" w:hAnsi="Arial" w:cs="Arial"/>
          <w:sz w:val="18"/>
          <w:szCs w:val="18"/>
        </w:rPr>
      </w:pPr>
    </w:p>
    <w:p w14:paraId="51B25240" w14:textId="77777777" w:rsidR="007B538E" w:rsidRPr="008367BC" w:rsidRDefault="007B538E" w:rsidP="007B538E">
      <w:pPr>
        <w:numPr>
          <w:ilvl w:val="1"/>
          <w:numId w:val="15"/>
        </w:numPr>
        <w:spacing w:after="120"/>
        <w:ind w:left="709" w:hanging="709"/>
        <w:jc w:val="both"/>
        <w:rPr>
          <w:rFonts w:ascii="Arial" w:hAnsi="Arial" w:cs="Arial"/>
          <w:b/>
          <w:sz w:val="18"/>
          <w:szCs w:val="18"/>
        </w:rPr>
      </w:pPr>
      <w:r w:rsidRPr="008367BC">
        <w:rPr>
          <w:rFonts w:ascii="Arial" w:hAnsi="Arial" w:cs="Arial"/>
          <w:b/>
          <w:sz w:val="18"/>
          <w:szCs w:val="18"/>
        </w:rPr>
        <w:t>Pozostała infrastruktura oświetlenia drogowego</w:t>
      </w:r>
      <w:r w:rsidRPr="008367BC">
        <w:rPr>
          <w:rFonts w:ascii="Arial" w:hAnsi="Arial" w:cs="Arial"/>
          <w:b/>
          <w:sz w:val="18"/>
          <w:szCs w:val="18"/>
        </w:rPr>
        <w:tab/>
      </w:r>
    </w:p>
    <w:p w14:paraId="410A443B" w14:textId="77777777" w:rsidR="007B538E" w:rsidRPr="008367BC" w:rsidRDefault="007B538E" w:rsidP="007B538E">
      <w:pPr>
        <w:spacing w:after="120"/>
        <w:jc w:val="both"/>
        <w:rPr>
          <w:rFonts w:ascii="Arial" w:hAnsi="Arial" w:cs="Arial"/>
          <w:sz w:val="18"/>
          <w:szCs w:val="18"/>
        </w:rPr>
      </w:pPr>
      <w:r w:rsidRPr="008367BC">
        <w:rPr>
          <w:rFonts w:ascii="Arial" w:hAnsi="Arial" w:cs="Arial"/>
          <w:sz w:val="18"/>
          <w:szCs w:val="18"/>
        </w:rPr>
        <w:lastRenderedPageBreak/>
        <w:t>Dla konstrukcji wsporczych, słupów, masztów, szafek oświetleniowych, kabli i innych elementów składowych oświetlenia okres gwarancji wynosi: 5 lat</w:t>
      </w:r>
    </w:p>
    <w:p w14:paraId="41E86340" w14:textId="77777777" w:rsidR="007B538E" w:rsidRPr="008367BC" w:rsidRDefault="007B538E" w:rsidP="007B538E">
      <w:pPr>
        <w:spacing w:after="120"/>
        <w:jc w:val="both"/>
        <w:rPr>
          <w:rFonts w:ascii="Arial" w:hAnsi="Arial" w:cs="Arial"/>
          <w:sz w:val="18"/>
          <w:szCs w:val="18"/>
        </w:rPr>
      </w:pPr>
      <w:r w:rsidRPr="008367BC">
        <w:rPr>
          <w:rFonts w:ascii="Arial" w:hAnsi="Arial" w:cs="Arial"/>
          <w:sz w:val="18"/>
          <w:szCs w:val="18"/>
        </w:rPr>
        <w:t>Stan powłok zabezpieczających przed korozją opraw oświetleniowych, konstrukcji wsporczej, słupów, masztów, szafek oświetleniowych i innych elementów składowych oświetlenia należy ocenić pod względem stopnia zmian objawiających się przez złuszczenia, spękania, pofałdowania, tworzenie się pęcherzy itp. Dopuszczalny jest stopień zmian powłoki antykorozyjnej na poziomie 5% powierzchni danego elementu.</w:t>
      </w:r>
    </w:p>
    <w:p w14:paraId="0B346399" w14:textId="77777777" w:rsidR="007B538E" w:rsidRPr="008367BC" w:rsidRDefault="007B538E" w:rsidP="007B538E">
      <w:pPr>
        <w:pStyle w:val="Nagwek2"/>
        <w:spacing w:after="120"/>
        <w:ind w:left="284"/>
        <w:rPr>
          <w:rFonts w:cs="Arial"/>
          <w:sz w:val="18"/>
          <w:szCs w:val="18"/>
        </w:rPr>
      </w:pPr>
    </w:p>
    <w:p w14:paraId="1AD02047" w14:textId="77777777" w:rsidR="007B538E" w:rsidRPr="008367BC" w:rsidRDefault="007B538E" w:rsidP="007B538E">
      <w:pPr>
        <w:pStyle w:val="Nagwek2"/>
        <w:keepLines w:val="0"/>
        <w:numPr>
          <w:ilvl w:val="0"/>
          <w:numId w:val="4"/>
        </w:numPr>
        <w:spacing w:before="0" w:after="120"/>
        <w:ind w:left="284" w:hanging="284"/>
        <w:rPr>
          <w:rFonts w:cs="Arial"/>
          <w:sz w:val="18"/>
          <w:szCs w:val="18"/>
        </w:rPr>
      </w:pPr>
      <w:r w:rsidRPr="008367BC">
        <w:rPr>
          <w:rFonts w:cs="Arial"/>
          <w:sz w:val="18"/>
          <w:szCs w:val="18"/>
        </w:rPr>
        <w:t>EKRANY AKUSTYCZNE</w:t>
      </w:r>
    </w:p>
    <w:p w14:paraId="3D730A00" w14:textId="77777777" w:rsidR="007B538E" w:rsidRPr="008367BC" w:rsidRDefault="007B538E" w:rsidP="007B538E">
      <w:pPr>
        <w:pStyle w:val="Akapitzlist"/>
        <w:widowControl/>
        <w:numPr>
          <w:ilvl w:val="0"/>
          <w:numId w:val="15"/>
        </w:numPr>
        <w:spacing w:after="120"/>
        <w:jc w:val="both"/>
        <w:rPr>
          <w:rFonts w:ascii="Arial" w:hAnsi="Arial" w:cs="Arial"/>
          <w:vanish/>
          <w:sz w:val="18"/>
          <w:szCs w:val="18"/>
        </w:rPr>
      </w:pPr>
    </w:p>
    <w:p w14:paraId="01538369" w14:textId="77777777" w:rsidR="007B538E" w:rsidRPr="008367BC" w:rsidRDefault="007B538E" w:rsidP="007B538E">
      <w:pPr>
        <w:numPr>
          <w:ilvl w:val="1"/>
          <w:numId w:val="15"/>
        </w:numPr>
        <w:spacing w:after="120"/>
        <w:ind w:left="720"/>
        <w:jc w:val="both"/>
        <w:rPr>
          <w:rFonts w:ascii="Arial" w:hAnsi="Arial" w:cs="Arial"/>
          <w:sz w:val="18"/>
          <w:szCs w:val="18"/>
        </w:rPr>
      </w:pPr>
      <w:r w:rsidRPr="008367BC">
        <w:rPr>
          <w:rFonts w:ascii="Arial" w:hAnsi="Arial" w:cs="Arial"/>
          <w:b/>
          <w:sz w:val="18"/>
          <w:szCs w:val="18"/>
        </w:rPr>
        <w:t>Ekrany akustyczne gwarancja</w:t>
      </w:r>
      <w:r w:rsidRPr="008367BC">
        <w:rPr>
          <w:rFonts w:ascii="Arial" w:hAnsi="Arial" w:cs="Arial"/>
          <w:sz w:val="18"/>
          <w:szCs w:val="18"/>
        </w:rPr>
        <w:t xml:space="preserve"> – okres gwarancji 10 lat.</w:t>
      </w:r>
    </w:p>
    <w:p w14:paraId="7BE50BB6" w14:textId="77777777" w:rsidR="007B538E" w:rsidRPr="008367BC" w:rsidRDefault="007B538E" w:rsidP="007B538E">
      <w:pPr>
        <w:spacing w:after="120"/>
        <w:ind w:left="720"/>
        <w:jc w:val="both"/>
        <w:rPr>
          <w:rFonts w:ascii="Arial" w:hAnsi="Arial" w:cs="Arial"/>
          <w:sz w:val="18"/>
          <w:szCs w:val="18"/>
        </w:rPr>
      </w:pPr>
    </w:p>
    <w:p w14:paraId="1CFF4AA5" w14:textId="77777777" w:rsidR="007B538E" w:rsidRPr="008367BC" w:rsidRDefault="007B538E" w:rsidP="007B538E">
      <w:pPr>
        <w:numPr>
          <w:ilvl w:val="1"/>
          <w:numId w:val="15"/>
        </w:numPr>
        <w:spacing w:after="120"/>
        <w:ind w:left="709" w:hanging="709"/>
        <w:jc w:val="both"/>
        <w:rPr>
          <w:rFonts w:ascii="Arial" w:hAnsi="Arial" w:cs="Arial"/>
          <w:b/>
          <w:bCs/>
          <w:sz w:val="18"/>
          <w:szCs w:val="18"/>
        </w:rPr>
      </w:pPr>
      <w:r w:rsidRPr="008367BC">
        <w:rPr>
          <w:rFonts w:ascii="Arial" w:hAnsi="Arial" w:cs="Arial"/>
          <w:b/>
          <w:bCs/>
          <w:sz w:val="18"/>
          <w:szCs w:val="18"/>
        </w:rPr>
        <w:t>Wypełnienia przezroczyste</w:t>
      </w:r>
    </w:p>
    <w:p w14:paraId="08DF4ED2" w14:textId="77777777" w:rsidR="007B538E" w:rsidRPr="008367BC" w:rsidRDefault="007B538E" w:rsidP="007B538E">
      <w:pPr>
        <w:spacing w:after="120"/>
        <w:jc w:val="both"/>
        <w:rPr>
          <w:rFonts w:ascii="Arial" w:hAnsi="Arial" w:cs="Arial"/>
          <w:b/>
          <w:bCs/>
          <w:sz w:val="18"/>
          <w:szCs w:val="18"/>
        </w:rPr>
      </w:pPr>
      <w:r w:rsidRPr="008367BC">
        <w:rPr>
          <w:rFonts w:ascii="Arial" w:hAnsi="Arial" w:cs="Arial"/>
          <w:sz w:val="18"/>
          <w:szCs w:val="18"/>
        </w:rPr>
        <w:t>Wypełnienia przezroczyste z płyt ze szkła akrylowego (z polimetakrylanu metylu), poliwęglanu lub szkła hartowanego.</w:t>
      </w:r>
    </w:p>
    <w:p w14:paraId="79DF8E93" w14:textId="77777777" w:rsidR="007B538E" w:rsidRPr="008367BC" w:rsidRDefault="007B538E" w:rsidP="007B538E">
      <w:pPr>
        <w:numPr>
          <w:ilvl w:val="0"/>
          <w:numId w:val="21"/>
        </w:numPr>
        <w:spacing w:after="120"/>
        <w:jc w:val="both"/>
        <w:rPr>
          <w:rFonts w:ascii="Arial" w:hAnsi="Arial" w:cs="Arial"/>
          <w:sz w:val="18"/>
          <w:szCs w:val="18"/>
        </w:rPr>
      </w:pPr>
      <w:r w:rsidRPr="008367BC">
        <w:rPr>
          <w:rFonts w:ascii="Arial" w:hAnsi="Arial" w:cs="Arial"/>
          <w:sz w:val="18"/>
          <w:szCs w:val="18"/>
        </w:rPr>
        <w:t>Wskaźniki:</w:t>
      </w:r>
    </w:p>
    <w:p w14:paraId="106D97C3" w14:textId="77777777" w:rsidR="007B538E" w:rsidRPr="008367BC" w:rsidRDefault="007B538E" w:rsidP="007B538E">
      <w:pPr>
        <w:spacing w:after="120"/>
        <w:jc w:val="both"/>
        <w:rPr>
          <w:rFonts w:ascii="Arial" w:hAnsi="Arial" w:cs="Arial"/>
          <w:sz w:val="18"/>
          <w:szCs w:val="18"/>
        </w:rPr>
      </w:pPr>
      <w:r w:rsidRPr="008367BC">
        <w:rPr>
          <w:rFonts w:ascii="Arial" w:hAnsi="Arial" w:cs="Arial"/>
          <w:sz w:val="18"/>
          <w:szCs w:val="18"/>
        </w:rPr>
        <w:t xml:space="preserve">W trakcie trwania okresu gwarancji sprawdzeniu podlegać będą następujące parametry płyt: </w:t>
      </w:r>
    </w:p>
    <w:p w14:paraId="5763DF24" w14:textId="77777777" w:rsidR="007B538E" w:rsidRPr="008367BC" w:rsidRDefault="007B538E" w:rsidP="007B538E">
      <w:pPr>
        <w:numPr>
          <w:ilvl w:val="0"/>
          <w:numId w:val="3"/>
        </w:numPr>
        <w:spacing w:after="120"/>
        <w:jc w:val="both"/>
        <w:rPr>
          <w:rFonts w:ascii="Arial" w:hAnsi="Arial" w:cs="Arial"/>
          <w:sz w:val="18"/>
          <w:szCs w:val="18"/>
        </w:rPr>
      </w:pPr>
      <w:r w:rsidRPr="008367BC">
        <w:rPr>
          <w:rFonts w:ascii="Arial" w:hAnsi="Arial" w:cs="Arial"/>
          <w:sz w:val="18"/>
          <w:szCs w:val="18"/>
        </w:rPr>
        <w:t>zachowanie transmisji światła,</w:t>
      </w:r>
    </w:p>
    <w:p w14:paraId="2D7456F9" w14:textId="77777777" w:rsidR="007B538E" w:rsidRPr="008367BC" w:rsidRDefault="007B538E" w:rsidP="007B538E">
      <w:pPr>
        <w:numPr>
          <w:ilvl w:val="0"/>
          <w:numId w:val="3"/>
        </w:numPr>
        <w:spacing w:after="120"/>
        <w:jc w:val="both"/>
        <w:rPr>
          <w:rFonts w:ascii="Arial" w:hAnsi="Arial" w:cs="Arial"/>
          <w:sz w:val="18"/>
          <w:szCs w:val="18"/>
        </w:rPr>
      </w:pPr>
      <w:r w:rsidRPr="008367BC">
        <w:rPr>
          <w:rFonts w:ascii="Arial" w:hAnsi="Arial" w:cs="Arial"/>
          <w:sz w:val="18"/>
          <w:szCs w:val="18"/>
        </w:rPr>
        <w:t>zachowanie trwałości elementów naklejanych, nadrukowanych lub wtopionych, zabezpieczających przed kolizją z awifauną,</w:t>
      </w:r>
    </w:p>
    <w:p w14:paraId="633961B3" w14:textId="77777777" w:rsidR="007B538E" w:rsidRPr="008367BC" w:rsidRDefault="007B538E" w:rsidP="007B538E">
      <w:pPr>
        <w:numPr>
          <w:ilvl w:val="0"/>
          <w:numId w:val="3"/>
        </w:numPr>
        <w:spacing w:after="120"/>
        <w:jc w:val="both"/>
        <w:rPr>
          <w:rFonts w:ascii="Arial" w:hAnsi="Arial" w:cs="Arial"/>
          <w:sz w:val="18"/>
          <w:szCs w:val="18"/>
        </w:rPr>
      </w:pPr>
      <w:r w:rsidRPr="008367BC">
        <w:rPr>
          <w:rFonts w:ascii="Arial" w:hAnsi="Arial" w:cs="Arial"/>
          <w:sz w:val="18"/>
          <w:szCs w:val="18"/>
        </w:rPr>
        <w:t>szczelności konstrukcji - należy zwrócić uwagę na umocowanie płyty przezroczystej w ramie i jej uszczelnienie oraz posadowienie ramy pomiędzy słupami.</w:t>
      </w:r>
    </w:p>
    <w:p w14:paraId="2B6608AA" w14:textId="77777777" w:rsidR="007B538E" w:rsidRPr="008367BC" w:rsidRDefault="007B538E" w:rsidP="007B538E">
      <w:pPr>
        <w:numPr>
          <w:ilvl w:val="0"/>
          <w:numId w:val="21"/>
        </w:numPr>
        <w:spacing w:after="120"/>
        <w:jc w:val="both"/>
        <w:rPr>
          <w:rFonts w:ascii="Arial" w:hAnsi="Arial" w:cs="Arial"/>
          <w:sz w:val="18"/>
          <w:szCs w:val="18"/>
        </w:rPr>
      </w:pPr>
      <w:r w:rsidRPr="008367BC">
        <w:rPr>
          <w:rFonts w:ascii="Arial" w:hAnsi="Arial" w:cs="Arial"/>
          <w:sz w:val="18"/>
          <w:szCs w:val="18"/>
        </w:rPr>
        <w:t>Dopuszczalne formy uszkodzeń i nieprawidłowości określane na podstawie oceny wizualnej:</w:t>
      </w:r>
    </w:p>
    <w:p w14:paraId="0467262C" w14:textId="77777777" w:rsidR="007B538E" w:rsidRPr="008367BC" w:rsidRDefault="007B538E" w:rsidP="007B538E">
      <w:pPr>
        <w:numPr>
          <w:ilvl w:val="0"/>
          <w:numId w:val="22"/>
        </w:numPr>
        <w:spacing w:after="120"/>
        <w:jc w:val="both"/>
        <w:rPr>
          <w:rFonts w:ascii="Arial" w:hAnsi="Arial" w:cs="Arial"/>
          <w:sz w:val="18"/>
          <w:szCs w:val="18"/>
        </w:rPr>
      </w:pPr>
      <w:r w:rsidRPr="008367BC">
        <w:rPr>
          <w:rFonts w:ascii="Arial" w:hAnsi="Arial" w:cs="Arial"/>
          <w:sz w:val="18"/>
          <w:szCs w:val="18"/>
        </w:rPr>
        <w:t>odbarwienia i zarysowania wynikające z użytkowania, które nie wpływają na obniżenie szczelności wypełnienia,</w:t>
      </w:r>
    </w:p>
    <w:p w14:paraId="0430133F" w14:textId="77777777" w:rsidR="007B538E" w:rsidRPr="008367BC" w:rsidRDefault="007B538E" w:rsidP="007B538E">
      <w:pPr>
        <w:numPr>
          <w:ilvl w:val="0"/>
          <w:numId w:val="22"/>
        </w:numPr>
        <w:spacing w:after="120"/>
        <w:jc w:val="both"/>
        <w:rPr>
          <w:rFonts w:ascii="Arial" w:hAnsi="Arial" w:cs="Arial"/>
          <w:sz w:val="18"/>
          <w:szCs w:val="18"/>
        </w:rPr>
      </w:pPr>
      <w:r w:rsidRPr="008367BC">
        <w:rPr>
          <w:rFonts w:ascii="Arial" w:hAnsi="Arial" w:cs="Arial"/>
          <w:sz w:val="18"/>
          <w:szCs w:val="18"/>
        </w:rPr>
        <w:t>zmatowienia powierzchni powodujące obniżenie przepuszczalności światła – dopuszczalna jest utrata przejrzystości na powierzchni do 20% danego elementu (płyty),</w:t>
      </w:r>
    </w:p>
    <w:p w14:paraId="435F0046" w14:textId="77777777" w:rsidR="007B538E" w:rsidRPr="008367BC" w:rsidRDefault="007B538E" w:rsidP="007B538E">
      <w:pPr>
        <w:numPr>
          <w:ilvl w:val="0"/>
          <w:numId w:val="22"/>
        </w:numPr>
        <w:spacing w:after="120"/>
        <w:jc w:val="both"/>
        <w:rPr>
          <w:rFonts w:ascii="Arial" w:hAnsi="Arial" w:cs="Arial"/>
          <w:sz w:val="18"/>
          <w:szCs w:val="18"/>
        </w:rPr>
      </w:pPr>
      <w:r w:rsidRPr="008367BC">
        <w:rPr>
          <w:rFonts w:ascii="Arial" w:hAnsi="Arial" w:cs="Arial"/>
          <w:sz w:val="18"/>
          <w:szCs w:val="18"/>
        </w:rPr>
        <w:t>rozchylenie, rozejście i przesunięcia (pionowe i poziome) płyt względem siebie powodujące powstanie nieszczelności między poszczególnymi elementami o szerokości nie większej niż 1 cm, o ile nie będzie powodować zagrożenia wypadnięciem elementu z ramy oraz zostanie uszczelniona w sposób zapewniający odpowiednią skuteczność akustyczną ekranu,</w:t>
      </w:r>
    </w:p>
    <w:p w14:paraId="2E9A5399" w14:textId="77777777" w:rsidR="007B538E" w:rsidRPr="008367BC" w:rsidRDefault="007B538E" w:rsidP="007B538E">
      <w:pPr>
        <w:numPr>
          <w:ilvl w:val="0"/>
          <w:numId w:val="22"/>
        </w:numPr>
        <w:spacing w:after="120"/>
        <w:jc w:val="both"/>
        <w:rPr>
          <w:rFonts w:ascii="Arial" w:hAnsi="Arial" w:cs="Arial"/>
          <w:sz w:val="18"/>
          <w:szCs w:val="18"/>
        </w:rPr>
      </w:pPr>
      <w:r w:rsidRPr="008367BC">
        <w:rPr>
          <w:rFonts w:ascii="Arial" w:hAnsi="Arial" w:cs="Arial"/>
          <w:sz w:val="18"/>
          <w:szCs w:val="18"/>
        </w:rPr>
        <w:t>deformacja płaszczyzny płyt przezroczystych – dopuszczalne jest 5% deformacja powierzchni płyty, o ile nie będzie ona powodowała utraty szczelności elementu oraz zagrożenia wypadnięcia elementu,</w:t>
      </w:r>
    </w:p>
    <w:p w14:paraId="7185EA13" w14:textId="77777777" w:rsidR="007B538E" w:rsidRPr="008367BC" w:rsidRDefault="007B538E" w:rsidP="007B538E">
      <w:pPr>
        <w:numPr>
          <w:ilvl w:val="0"/>
          <w:numId w:val="22"/>
        </w:numPr>
        <w:spacing w:after="120"/>
        <w:jc w:val="both"/>
        <w:rPr>
          <w:rFonts w:ascii="Arial" w:hAnsi="Arial" w:cs="Arial"/>
          <w:sz w:val="18"/>
          <w:szCs w:val="18"/>
        </w:rPr>
      </w:pPr>
      <w:r w:rsidRPr="008367BC">
        <w:rPr>
          <w:rFonts w:ascii="Arial" w:hAnsi="Arial" w:cs="Arial"/>
          <w:sz w:val="18"/>
          <w:szCs w:val="18"/>
        </w:rPr>
        <w:t>powstanie nieszczelności na styku płyty wypełniającej i ramy poprzez brak uszczelek, nie dopuszcza się ubytków uszczelnienia ramy.</w:t>
      </w:r>
    </w:p>
    <w:p w14:paraId="3971BE68" w14:textId="77777777" w:rsidR="007B538E" w:rsidRPr="008367BC" w:rsidRDefault="007B538E" w:rsidP="007B538E">
      <w:pPr>
        <w:spacing w:after="120"/>
        <w:ind w:left="720"/>
        <w:jc w:val="both"/>
        <w:rPr>
          <w:rFonts w:ascii="Arial" w:hAnsi="Arial" w:cs="Arial"/>
          <w:sz w:val="18"/>
          <w:szCs w:val="18"/>
        </w:rPr>
      </w:pPr>
    </w:p>
    <w:p w14:paraId="5BA27E03" w14:textId="77777777" w:rsidR="007B538E" w:rsidRPr="008367BC" w:rsidRDefault="007B538E" w:rsidP="007B538E">
      <w:pPr>
        <w:numPr>
          <w:ilvl w:val="1"/>
          <w:numId w:val="15"/>
        </w:numPr>
        <w:spacing w:after="120"/>
        <w:ind w:left="709" w:hanging="709"/>
        <w:jc w:val="both"/>
        <w:rPr>
          <w:rFonts w:ascii="Arial" w:hAnsi="Arial" w:cs="Arial"/>
          <w:b/>
          <w:bCs/>
          <w:sz w:val="18"/>
          <w:szCs w:val="18"/>
        </w:rPr>
      </w:pPr>
      <w:r w:rsidRPr="008367BC">
        <w:rPr>
          <w:rFonts w:ascii="Arial" w:hAnsi="Arial" w:cs="Arial"/>
          <w:b/>
          <w:bCs/>
          <w:sz w:val="18"/>
          <w:szCs w:val="18"/>
        </w:rPr>
        <w:t>Wypełnienia nieprzezroczyste</w:t>
      </w:r>
    </w:p>
    <w:p w14:paraId="03C917F4" w14:textId="77777777" w:rsidR="007B538E" w:rsidRPr="008367BC" w:rsidRDefault="007B538E" w:rsidP="007B538E">
      <w:pPr>
        <w:spacing w:after="120"/>
        <w:ind w:left="709"/>
        <w:jc w:val="both"/>
        <w:rPr>
          <w:rFonts w:ascii="Arial" w:hAnsi="Arial" w:cs="Arial"/>
          <w:b/>
          <w:bCs/>
          <w:sz w:val="18"/>
          <w:szCs w:val="18"/>
        </w:rPr>
      </w:pPr>
    </w:p>
    <w:p w14:paraId="54A89D78" w14:textId="77777777" w:rsidR="007B538E" w:rsidRPr="008367BC" w:rsidRDefault="007B538E" w:rsidP="007B538E">
      <w:pPr>
        <w:pStyle w:val="Akapitzlist"/>
        <w:widowControl/>
        <w:numPr>
          <w:ilvl w:val="1"/>
          <w:numId w:val="20"/>
        </w:numPr>
        <w:spacing w:after="120"/>
        <w:jc w:val="both"/>
        <w:rPr>
          <w:rFonts w:ascii="Arial" w:hAnsi="Arial" w:cs="Arial"/>
          <w:vanish/>
          <w:sz w:val="18"/>
          <w:szCs w:val="18"/>
          <w:lang w:val="pl-PL"/>
        </w:rPr>
      </w:pPr>
    </w:p>
    <w:p w14:paraId="63ADD66A" w14:textId="77777777" w:rsidR="007B538E" w:rsidRPr="008367BC" w:rsidRDefault="007B538E" w:rsidP="007B538E">
      <w:pPr>
        <w:pStyle w:val="Akapitzlist"/>
        <w:widowControl/>
        <w:numPr>
          <w:ilvl w:val="1"/>
          <w:numId w:val="20"/>
        </w:numPr>
        <w:spacing w:after="120"/>
        <w:jc w:val="both"/>
        <w:rPr>
          <w:rFonts w:ascii="Arial" w:hAnsi="Arial" w:cs="Arial"/>
          <w:vanish/>
          <w:sz w:val="18"/>
          <w:szCs w:val="18"/>
          <w:lang w:val="pl-PL"/>
        </w:rPr>
      </w:pPr>
    </w:p>
    <w:p w14:paraId="1F0787D6" w14:textId="77777777" w:rsidR="007B538E" w:rsidRPr="008367BC" w:rsidRDefault="007B538E" w:rsidP="007B538E">
      <w:pPr>
        <w:pStyle w:val="Akapitzlist"/>
        <w:widowControl/>
        <w:numPr>
          <w:ilvl w:val="1"/>
          <w:numId w:val="20"/>
        </w:numPr>
        <w:spacing w:after="120"/>
        <w:jc w:val="both"/>
        <w:rPr>
          <w:rFonts w:ascii="Arial" w:hAnsi="Arial" w:cs="Arial"/>
          <w:vanish/>
          <w:sz w:val="18"/>
          <w:szCs w:val="18"/>
          <w:lang w:val="pl-PL"/>
        </w:rPr>
      </w:pPr>
    </w:p>
    <w:p w14:paraId="7EF2E2B9" w14:textId="77777777" w:rsidR="007B538E" w:rsidRPr="008367BC" w:rsidRDefault="007B538E" w:rsidP="007B538E">
      <w:pPr>
        <w:numPr>
          <w:ilvl w:val="2"/>
          <w:numId w:val="20"/>
        </w:numPr>
        <w:spacing w:after="120"/>
        <w:ind w:left="709"/>
        <w:jc w:val="both"/>
        <w:rPr>
          <w:rFonts w:ascii="Arial" w:hAnsi="Arial" w:cs="Arial"/>
          <w:sz w:val="18"/>
          <w:szCs w:val="18"/>
        </w:rPr>
      </w:pPr>
      <w:r w:rsidRPr="008367BC">
        <w:rPr>
          <w:rFonts w:ascii="Arial" w:hAnsi="Arial" w:cs="Arial"/>
          <w:sz w:val="18"/>
          <w:szCs w:val="18"/>
        </w:rPr>
        <w:t>Wypełnienia nieprzezroczyste z kaset aluminiowych lub stalowych znajdujących się w ekranach o konstrukcji szkieletowej.</w:t>
      </w:r>
    </w:p>
    <w:p w14:paraId="46F0C612" w14:textId="77777777" w:rsidR="007B538E" w:rsidRPr="008367BC" w:rsidRDefault="007B538E" w:rsidP="007B538E">
      <w:pPr>
        <w:numPr>
          <w:ilvl w:val="0"/>
          <w:numId w:val="23"/>
        </w:numPr>
        <w:spacing w:after="120"/>
        <w:jc w:val="both"/>
        <w:rPr>
          <w:rFonts w:ascii="Arial" w:hAnsi="Arial" w:cs="Arial"/>
          <w:sz w:val="18"/>
          <w:szCs w:val="18"/>
        </w:rPr>
      </w:pPr>
      <w:r w:rsidRPr="008367BC">
        <w:rPr>
          <w:rFonts w:ascii="Arial" w:hAnsi="Arial" w:cs="Arial"/>
          <w:sz w:val="18"/>
          <w:szCs w:val="18"/>
        </w:rPr>
        <w:t>Wskaźniki:</w:t>
      </w:r>
    </w:p>
    <w:p w14:paraId="1DEB8BEA" w14:textId="77777777" w:rsidR="007B538E" w:rsidRPr="008367BC" w:rsidRDefault="007B538E" w:rsidP="007B538E">
      <w:pPr>
        <w:spacing w:after="120"/>
        <w:jc w:val="both"/>
        <w:rPr>
          <w:rFonts w:ascii="Arial" w:hAnsi="Arial" w:cs="Arial"/>
          <w:sz w:val="18"/>
          <w:szCs w:val="18"/>
        </w:rPr>
      </w:pPr>
      <w:r w:rsidRPr="008367BC">
        <w:rPr>
          <w:rFonts w:ascii="Arial" w:hAnsi="Arial" w:cs="Arial"/>
          <w:sz w:val="18"/>
          <w:szCs w:val="18"/>
        </w:rPr>
        <w:t xml:space="preserve">W trakcie trwania okresu gwarancji sprawdzeniu podlegać będzie: </w:t>
      </w:r>
    </w:p>
    <w:p w14:paraId="70634EA5" w14:textId="77777777" w:rsidR="007B538E" w:rsidRPr="008367BC" w:rsidRDefault="007B538E" w:rsidP="007B538E">
      <w:pPr>
        <w:numPr>
          <w:ilvl w:val="0"/>
          <w:numId w:val="24"/>
        </w:numPr>
        <w:spacing w:after="120"/>
        <w:jc w:val="both"/>
        <w:rPr>
          <w:rFonts w:ascii="Arial" w:hAnsi="Arial" w:cs="Arial"/>
          <w:sz w:val="18"/>
          <w:szCs w:val="18"/>
        </w:rPr>
      </w:pPr>
      <w:r w:rsidRPr="008367BC">
        <w:rPr>
          <w:rFonts w:ascii="Arial" w:hAnsi="Arial" w:cs="Arial"/>
          <w:sz w:val="18"/>
          <w:szCs w:val="18"/>
        </w:rPr>
        <w:t>stan powłoki zabezpieczającej,</w:t>
      </w:r>
    </w:p>
    <w:p w14:paraId="2CCD0A73" w14:textId="77777777" w:rsidR="007B538E" w:rsidRPr="008367BC" w:rsidRDefault="007B538E" w:rsidP="007B538E">
      <w:pPr>
        <w:numPr>
          <w:ilvl w:val="0"/>
          <w:numId w:val="24"/>
        </w:numPr>
        <w:spacing w:after="120"/>
        <w:jc w:val="both"/>
        <w:rPr>
          <w:rFonts w:ascii="Arial" w:hAnsi="Arial" w:cs="Arial"/>
          <w:sz w:val="18"/>
          <w:szCs w:val="18"/>
        </w:rPr>
      </w:pPr>
      <w:r w:rsidRPr="008367BC">
        <w:rPr>
          <w:rFonts w:ascii="Arial" w:hAnsi="Arial" w:cs="Arial"/>
          <w:sz w:val="18"/>
          <w:szCs w:val="18"/>
        </w:rPr>
        <w:t>szczelności konstrukcji - należy zwrócić uwagę na ułożenie paneli, ich uszczelnienie oraz posadowienie pomiędzy słupami.</w:t>
      </w:r>
    </w:p>
    <w:p w14:paraId="5116B704" w14:textId="77777777" w:rsidR="007B538E" w:rsidRPr="008367BC" w:rsidRDefault="007B538E" w:rsidP="007B538E">
      <w:pPr>
        <w:numPr>
          <w:ilvl w:val="0"/>
          <w:numId w:val="23"/>
        </w:numPr>
        <w:spacing w:after="120"/>
        <w:jc w:val="both"/>
        <w:rPr>
          <w:rFonts w:ascii="Arial" w:hAnsi="Arial" w:cs="Arial"/>
          <w:sz w:val="18"/>
          <w:szCs w:val="18"/>
        </w:rPr>
      </w:pPr>
      <w:r w:rsidRPr="008367BC">
        <w:rPr>
          <w:rFonts w:ascii="Arial" w:hAnsi="Arial" w:cs="Arial"/>
          <w:sz w:val="18"/>
          <w:szCs w:val="18"/>
        </w:rPr>
        <w:t>Dopuszczalne formy uszkodzeń i nieprawidłowości określane na podstawie oceny wizualnej:</w:t>
      </w:r>
    </w:p>
    <w:p w14:paraId="6F77FB1A" w14:textId="77777777" w:rsidR="007B538E" w:rsidRPr="008367BC" w:rsidRDefault="007B538E" w:rsidP="007B538E">
      <w:pPr>
        <w:numPr>
          <w:ilvl w:val="0"/>
          <w:numId w:val="25"/>
        </w:numPr>
        <w:spacing w:after="120"/>
        <w:jc w:val="both"/>
        <w:rPr>
          <w:rFonts w:ascii="Arial" w:hAnsi="Arial" w:cs="Arial"/>
          <w:sz w:val="18"/>
          <w:szCs w:val="18"/>
        </w:rPr>
      </w:pPr>
      <w:r w:rsidRPr="008367BC">
        <w:rPr>
          <w:rFonts w:ascii="Arial" w:hAnsi="Arial" w:cs="Arial"/>
          <w:sz w:val="18"/>
          <w:szCs w:val="18"/>
        </w:rPr>
        <w:t>stan powłok zabezpieczających przed korozją należy ocenić pod względem stopnia zmian objawiających się przez złuszczenia, spękania, pofałdowania, tworzenie się pęcherzy itp. Dopuszczalny jest stopień zmian powłoki na poziomie 5% powierzchni danego elementu (panelu),</w:t>
      </w:r>
    </w:p>
    <w:p w14:paraId="68E90ECD" w14:textId="77777777" w:rsidR="007B538E" w:rsidRPr="008367BC" w:rsidRDefault="007B538E" w:rsidP="007B538E">
      <w:pPr>
        <w:numPr>
          <w:ilvl w:val="0"/>
          <w:numId w:val="25"/>
        </w:numPr>
        <w:spacing w:after="120"/>
        <w:jc w:val="both"/>
        <w:rPr>
          <w:rFonts w:ascii="Arial" w:hAnsi="Arial" w:cs="Arial"/>
          <w:sz w:val="18"/>
          <w:szCs w:val="18"/>
        </w:rPr>
      </w:pPr>
      <w:r w:rsidRPr="008367BC">
        <w:rPr>
          <w:rFonts w:ascii="Arial" w:hAnsi="Arial" w:cs="Arial"/>
          <w:sz w:val="18"/>
          <w:szCs w:val="18"/>
        </w:rPr>
        <w:t xml:space="preserve">rozchylenie, rozejście i przesunięcia (pionowe i poziome) paneli względem siebie powodujące powstanie nieszczelności między elementami o szerokości nie większej niż 1 cm, o ile nie będzie powodować </w:t>
      </w:r>
      <w:r w:rsidRPr="008367BC">
        <w:rPr>
          <w:rFonts w:ascii="Arial" w:hAnsi="Arial" w:cs="Arial"/>
          <w:sz w:val="18"/>
          <w:szCs w:val="18"/>
        </w:rPr>
        <w:lastRenderedPageBreak/>
        <w:t>zagrożenia wypadnięcia elementu z ramy oraz zostanie uszczelniona w sposób zapewniający odpowiednią skuteczność akustyczną ekranu,</w:t>
      </w:r>
    </w:p>
    <w:p w14:paraId="4FE9C023" w14:textId="77777777" w:rsidR="007B538E" w:rsidRPr="008367BC" w:rsidRDefault="007B538E" w:rsidP="007B538E">
      <w:pPr>
        <w:numPr>
          <w:ilvl w:val="0"/>
          <w:numId w:val="25"/>
        </w:numPr>
        <w:spacing w:after="120"/>
        <w:jc w:val="both"/>
        <w:rPr>
          <w:rFonts w:ascii="Arial" w:hAnsi="Arial" w:cs="Arial"/>
          <w:sz w:val="18"/>
          <w:szCs w:val="18"/>
        </w:rPr>
      </w:pPr>
      <w:r w:rsidRPr="008367BC">
        <w:rPr>
          <w:rFonts w:ascii="Arial" w:hAnsi="Arial" w:cs="Arial"/>
          <w:sz w:val="18"/>
          <w:szCs w:val="18"/>
        </w:rPr>
        <w:t>powstanie nieszczelności na styku płyty wypełniającej i ramy poprzez brak uszczelek, nie dopuszcza się ubytków uszczelnienia ramy.</w:t>
      </w:r>
    </w:p>
    <w:p w14:paraId="557CED9C" w14:textId="77777777" w:rsidR="007B538E" w:rsidRPr="008367BC" w:rsidRDefault="007B538E" w:rsidP="007B538E">
      <w:pPr>
        <w:spacing w:after="120"/>
        <w:jc w:val="both"/>
        <w:rPr>
          <w:rFonts w:ascii="Arial" w:hAnsi="Arial" w:cs="Arial"/>
          <w:sz w:val="18"/>
          <w:szCs w:val="18"/>
        </w:rPr>
      </w:pPr>
      <w:r w:rsidRPr="008367BC">
        <w:rPr>
          <w:rFonts w:ascii="Arial" w:hAnsi="Arial" w:cs="Arial"/>
          <w:sz w:val="18"/>
          <w:szCs w:val="18"/>
        </w:rPr>
        <w:t>Uwaga: Wymagania określone w niniejszym punkcie odnoszą się również do oktagonów (reduktorów).</w:t>
      </w:r>
    </w:p>
    <w:p w14:paraId="34B44CEB" w14:textId="77777777" w:rsidR="007B538E" w:rsidRPr="008367BC" w:rsidRDefault="007B538E" w:rsidP="007B538E">
      <w:pPr>
        <w:spacing w:after="120"/>
        <w:jc w:val="both"/>
        <w:rPr>
          <w:rFonts w:ascii="Arial" w:hAnsi="Arial" w:cs="Arial"/>
          <w:sz w:val="18"/>
          <w:szCs w:val="18"/>
        </w:rPr>
      </w:pPr>
    </w:p>
    <w:p w14:paraId="03F7A5A5" w14:textId="77777777" w:rsidR="007B538E" w:rsidRPr="008367BC" w:rsidRDefault="007B538E" w:rsidP="007B538E">
      <w:pPr>
        <w:numPr>
          <w:ilvl w:val="2"/>
          <w:numId w:val="20"/>
        </w:numPr>
        <w:spacing w:after="120"/>
        <w:ind w:left="709"/>
        <w:jc w:val="both"/>
        <w:rPr>
          <w:rFonts w:ascii="Arial" w:hAnsi="Arial" w:cs="Arial"/>
          <w:sz w:val="18"/>
          <w:szCs w:val="18"/>
        </w:rPr>
      </w:pPr>
      <w:r w:rsidRPr="008367BC">
        <w:rPr>
          <w:rFonts w:ascii="Arial" w:hAnsi="Arial" w:cs="Arial"/>
          <w:sz w:val="18"/>
          <w:szCs w:val="18"/>
        </w:rPr>
        <w:t>Wypełnienia nieprzezroczyste z kaset z tworzyw sztucznych</w:t>
      </w:r>
    </w:p>
    <w:p w14:paraId="4E9A6F5A" w14:textId="77777777" w:rsidR="007B538E" w:rsidRPr="008367BC" w:rsidRDefault="007B538E" w:rsidP="007B538E">
      <w:pPr>
        <w:numPr>
          <w:ilvl w:val="0"/>
          <w:numId w:val="26"/>
        </w:numPr>
        <w:spacing w:after="120"/>
        <w:jc w:val="both"/>
        <w:rPr>
          <w:rFonts w:ascii="Arial" w:hAnsi="Arial" w:cs="Arial"/>
          <w:sz w:val="18"/>
          <w:szCs w:val="18"/>
        </w:rPr>
      </w:pPr>
      <w:r w:rsidRPr="008367BC">
        <w:rPr>
          <w:rFonts w:ascii="Arial" w:hAnsi="Arial" w:cs="Arial"/>
          <w:sz w:val="18"/>
          <w:szCs w:val="18"/>
        </w:rPr>
        <w:t>Wskaźniki:</w:t>
      </w:r>
    </w:p>
    <w:p w14:paraId="15AEA351" w14:textId="77777777" w:rsidR="007B538E" w:rsidRPr="008367BC" w:rsidRDefault="007B538E" w:rsidP="007B538E">
      <w:pPr>
        <w:spacing w:after="120"/>
        <w:jc w:val="both"/>
        <w:rPr>
          <w:rFonts w:ascii="Arial" w:hAnsi="Arial" w:cs="Arial"/>
          <w:sz w:val="18"/>
          <w:szCs w:val="18"/>
        </w:rPr>
      </w:pPr>
      <w:r w:rsidRPr="008367BC">
        <w:rPr>
          <w:rFonts w:ascii="Arial" w:hAnsi="Arial" w:cs="Arial"/>
          <w:sz w:val="18"/>
          <w:szCs w:val="18"/>
        </w:rPr>
        <w:t xml:space="preserve">W trakcie trwania okresu gwarancji sprawdzeniu podlegać będzie: </w:t>
      </w:r>
    </w:p>
    <w:p w14:paraId="67BC292C" w14:textId="77777777" w:rsidR="007B538E" w:rsidRPr="008367BC" w:rsidRDefault="007B538E" w:rsidP="007B538E">
      <w:pPr>
        <w:numPr>
          <w:ilvl w:val="0"/>
          <w:numId w:val="27"/>
        </w:numPr>
        <w:spacing w:after="120"/>
        <w:jc w:val="both"/>
        <w:rPr>
          <w:rFonts w:ascii="Arial" w:hAnsi="Arial" w:cs="Arial"/>
          <w:sz w:val="18"/>
          <w:szCs w:val="18"/>
        </w:rPr>
      </w:pPr>
      <w:r w:rsidRPr="008367BC">
        <w:rPr>
          <w:rFonts w:ascii="Arial" w:hAnsi="Arial" w:cs="Arial"/>
          <w:sz w:val="18"/>
          <w:szCs w:val="18"/>
        </w:rPr>
        <w:t>odporność na działanie promieni UV,</w:t>
      </w:r>
    </w:p>
    <w:p w14:paraId="38847984" w14:textId="77777777" w:rsidR="007B538E" w:rsidRPr="008367BC" w:rsidRDefault="007B538E" w:rsidP="007B538E">
      <w:pPr>
        <w:numPr>
          <w:ilvl w:val="0"/>
          <w:numId w:val="27"/>
        </w:numPr>
        <w:spacing w:after="120"/>
        <w:jc w:val="both"/>
        <w:rPr>
          <w:rFonts w:ascii="Arial" w:hAnsi="Arial" w:cs="Arial"/>
          <w:sz w:val="18"/>
          <w:szCs w:val="18"/>
        </w:rPr>
      </w:pPr>
      <w:r w:rsidRPr="008367BC">
        <w:rPr>
          <w:rFonts w:ascii="Arial" w:hAnsi="Arial" w:cs="Arial"/>
          <w:sz w:val="18"/>
          <w:szCs w:val="18"/>
        </w:rPr>
        <w:t>szczelności konstrukcji - należy zwrócić uwagę na ułożenie paneli, ich uszczelnienie oraz posadowienie pomiędzy słupami.</w:t>
      </w:r>
    </w:p>
    <w:p w14:paraId="4D369272" w14:textId="77777777" w:rsidR="007B538E" w:rsidRPr="008367BC" w:rsidRDefault="007B538E" w:rsidP="007B538E">
      <w:pPr>
        <w:numPr>
          <w:ilvl w:val="0"/>
          <w:numId w:val="26"/>
        </w:numPr>
        <w:spacing w:after="120"/>
        <w:jc w:val="both"/>
        <w:rPr>
          <w:rFonts w:ascii="Arial" w:hAnsi="Arial" w:cs="Arial"/>
          <w:sz w:val="18"/>
          <w:szCs w:val="18"/>
        </w:rPr>
      </w:pPr>
      <w:r w:rsidRPr="008367BC">
        <w:rPr>
          <w:rFonts w:ascii="Arial" w:hAnsi="Arial" w:cs="Arial"/>
          <w:sz w:val="18"/>
          <w:szCs w:val="18"/>
        </w:rPr>
        <w:t>Dopuszczalne formy uszkodzeń i nieprawidłowości określane na podstawie oceny wizualnej:</w:t>
      </w:r>
    </w:p>
    <w:p w14:paraId="419D02EB" w14:textId="77777777" w:rsidR="007B538E" w:rsidRPr="008367BC" w:rsidRDefault="007B538E" w:rsidP="007B538E">
      <w:pPr>
        <w:numPr>
          <w:ilvl w:val="0"/>
          <w:numId w:val="28"/>
        </w:numPr>
        <w:spacing w:after="120"/>
        <w:jc w:val="both"/>
        <w:rPr>
          <w:rFonts w:ascii="Arial" w:hAnsi="Arial" w:cs="Arial"/>
          <w:sz w:val="18"/>
          <w:szCs w:val="18"/>
        </w:rPr>
      </w:pPr>
      <w:r w:rsidRPr="008367BC">
        <w:rPr>
          <w:rFonts w:ascii="Arial" w:hAnsi="Arial" w:cs="Arial"/>
          <w:sz w:val="18"/>
          <w:szCs w:val="18"/>
        </w:rPr>
        <w:t>odporność na działanie promieni UV – ocenie podlega stan wybarwienia materiału. Dopuszczalna jest utrata koloru na 25% powierzchni danego panelu lub na 100% powierzchni w przypadku zmiany odcienia barwy wyjściowej o maksymalnie 2 tony,</w:t>
      </w:r>
    </w:p>
    <w:p w14:paraId="3F85D39A" w14:textId="77777777" w:rsidR="007B538E" w:rsidRPr="008367BC" w:rsidRDefault="007B538E" w:rsidP="007B538E">
      <w:pPr>
        <w:numPr>
          <w:ilvl w:val="0"/>
          <w:numId w:val="28"/>
        </w:numPr>
        <w:spacing w:after="120"/>
        <w:jc w:val="both"/>
        <w:rPr>
          <w:rFonts w:ascii="Arial" w:hAnsi="Arial" w:cs="Arial"/>
          <w:sz w:val="18"/>
          <w:szCs w:val="18"/>
        </w:rPr>
      </w:pPr>
      <w:r w:rsidRPr="008367BC">
        <w:rPr>
          <w:rFonts w:ascii="Arial" w:hAnsi="Arial" w:cs="Arial"/>
          <w:sz w:val="18"/>
          <w:szCs w:val="18"/>
        </w:rPr>
        <w:t>utrata siatki z tworzywa sztucznego – dopuszczalne 5% powierzchni panelu,</w:t>
      </w:r>
    </w:p>
    <w:p w14:paraId="0C1399CF" w14:textId="77777777" w:rsidR="007B538E" w:rsidRPr="008367BC" w:rsidRDefault="007B538E" w:rsidP="007B538E">
      <w:pPr>
        <w:numPr>
          <w:ilvl w:val="0"/>
          <w:numId w:val="28"/>
        </w:numPr>
        <w:spacing w:after="120"/>
        <w:jc w:val="both"/>
        <w:rPr>
          <w:rFonts w:ascii="Arial" w:hAnsi="Arial" w:cs="Arial"/>
          <w:sz w:val="18"/>
          <w:szCs w:val="18"/>
        </w:rPr>
      </w:pPr>
      <w:r w:rsidRPr="008367BC">
        <w:rPr>
          <w:rFonts w:ascii="Arial" w:hAnsi="Arial" w:cs="Arial"/>
          <w:sz w:val="18"/>
          <w:szCs w:val="18"/>
        </w:rPr>
        <w:t>deformacja płaszczyzny paneli – dopuszczalne jest 5% deformacji płaszczyzny panelu, o ile nie będzie ona powodować utraty szczelności elementu oraz nie będzie powodować zagrożenia wypadnięciem elementu z ramy,</w:t>
      </w:r>
    </w:p>
    <w:p w14:paraId="67004C06" w14:textId="77777777" w:rsidR="007B538E" w:rsidRPr="008367BC" w:rsidRDefault="007B538E" w:rsidP="007B538E">
      <w:pPr>
        <w:numPr>
          <w:ilvl w:val="0"/>
          <w:numId w:val="28"/>
        </w:numPr>
        <w:spacing w:after="120"/>
        <w:jc w:val="both"/>
        <w:rPr>
          <w:rFonts w:ascii="Arial" w:hAnsi="Arial" w:cs="Arial"/>
          <w:sz w:val="18"/>
          <w:szCs w:val="18"/>
        </w:rPr>
      </w:pPr>
      <w:r w:rsidRPr="008367BC">
        <w:rPr>
          <w:rFonts w:ascii="Arial" w:hAnsi="Arial" w:cs="Arial"/>
          <w:sz w:val="18"/>
          <w:szCs w:val="18"/>
        </w:rPr>
        <w:t>rozchylenie, rozejście i przesunięcia (pionowe i poziome) paneli względem siebie powodujące powstanie nieszczelności między poszczególnymi elementami (panelami) o szerokości nie większej niż 1 cm, o ile nie będzie to powodować zagrożenia wypadnięcia elementu z ramy oraz zostanie uszczelniona w sposób zapewniający odpowiednią skuteczność akustyczną ekranu,</w:t>
      </w:r>
    </w:p>
    <w:p w14:paraId="11717A5E" w14:textId="77777777" w:rsidR="007B538E" w:rsidRPr="008367BC" w:rsidRDefault="007B538E" w:rsidP="007B538E">
      <w:pPr>
        <w:numPr>
          <w:ilvl w:val="0"/>
          <w:numId w:val="28"/>
        </w:numPr>
        <w:spacing w:after="120"/>
        <w:jc w:val="both"/>
        <w:rPr>
          <w:rFonts w:ascii="Arial" w:hAnsi="Arial" w:cs="Arial"/>
          <w:sz w:val="18"/>
          <w:szCs w:val="18"/>
        </w:rPr>
      </w:pPr>
      <w:r w:rsidRPr="008367BC">
        <w:rPr>
          <w:rFonts w:ascii="Arial" w:hAnsi="Arial" w:cs="Arial"/>
          <w:sz w:val="18"/>
          <w:szCs w:val="18"/>
        </w:rPr>
        <w:t xml:space="preserve">powstanie nieszczelności na styku płyty wypełniającej i ramy poprzez brak uszczelek, nie dopuszcza się ubytków uszczelnienia ramy. </w:t>
      </w:r>
    </w:p>
    <w:p w14:paraId="4970291C" w14:textId="77777777" w:rsidR="007B538E" w:rsidRPr="008367BC" w:rsidRDefault="007B538E" w:rsidP="007B538E">
      <w:pPr>
        <w:spacing w:after="120"/>
        <w:jc w:val="both"/>
        <w:rPr>
          <w:rFonts w:ascii="Arial" w:hAnsi="Arial" w:cs="Arial"/>
          <w:sz w:val="18"/>
          <w:szCs w:val="18"/>
        </w:rPr>
      </w:pPr>
      <w:r w:rsidRPr="008367BC">
        <w:rPr>
          <w:rFonts w:ascii="Arial" w:hAnsi="Arial" w:cs="Arial"/>
          <w:sz w:val="18"/>
          <w:szCs w:val="18"/>
        </w:rPr>
        <w:t>Uwaga: Wymagania określone w niniejszym punkcie odnoszą się również do oktagonów (reduktorów).</w:t>
      </w:r>
    </w:p>
    <w:p w14:paraId="6EE60384" w14:textId="77777777" w:rsidR="007B538E" w:rsidRPr="008367BC" w:rsidRDefault="007B538E" w:rsidP="007B538E">
      <w:pPr>
        <w:spacing w:after="120"/>
        <w:jc w:val="both"/>
        <w:rPr>
          <w:rFonts w:ascii="Arial" w:hAnsi="Arial" w:cs="Arial"/>
          <w:sz w:val="18"/>
          <w:szCs w:val="18"/>
        </w:rPr>
      </w:pPr>
    </w:p>
    <w:p w14:paraId="0921D1D2" w14:textId="77777777" w:rsidR="007B538E" w:rsidRPr="008367BC" w:rsidRDefault="007B538E" w:rsidP="007B538E">
      <w:pPr>
        <w:numPr>
          <w:ilvl w:val="2"/>
          <w:numId w:val="20"/>
        </w:numPr>
        <w:spacing w:after="120"/>
        <w:ind w:left="709"/>
        <w:jc w:val="both"/>
        <w:rPr>
          <w:rFonts w:ascii="Arial" w:hAnsi="Arial" w:cs="Arial"/>
          <w:sz w:val="18"/>
          <w:szCs w:val="18"/>
        </w:rPr>
      </w:pPr>
      <w:r w:rsidRPr="008367BC">
        <w:rPr>
          <w:rFonts w:ascii="Arial" w:hAnsi="Arial" w:cs="Arial"/>
          <w:sz w:val="18"/>
          <w:szCs w:val="18"/>
        </w:rPr>
        <w:t xml:space="preserve">Wypełnienia nieprzezroczyste z paneli betonowych, </w:t>
      </w:r>
      <w:proofErr w:type="spellStart"/>
      <w:r w:rsidRPr="008367BC">
        <w:rPr>
          <w:rFonts w:ascii="Arial" w:hAnsi="Arial" w:cs="Arial"/>
          <w:sz w:val="18"/>
          <w:szCs w:val="18"/>
        </w:rPr>
        <w:t>zrąbko</w:t>
      </w:r>
      <w:proofErr w:type="spellEnd"/>
      <w:r w:rsidRPr="008367BC">
        <w:rPr>
          <w:rFonts w:ascii="Arial" w:hAnsi="Arial" w:cs="Arial"/>
          <w:sz w:val="18"/>
          <w:szCs w:val="18"/>
        </w:rPr>
        <w:t>-betonowych, itp.</w:t>
      </w:r>
    </w:p>
    <w:p w14:paraId="717B2A4C" w14:textId="77777777" w:rsidR="007B538E" w:rsidRPr="008367BC" w:rsidRDefault="007B538E" w:rsidP="007B538E">
      <w:pPr>
        <w:numPr>
          <w:ilvl w:val="0"/>
          <w:numId w:val="29"/>
        </w:numPr>
        <w:spacing w:after="120"/>
        <w:jc w:val="both"/>
        <w:rPr>
          <w:rFonts w:ascii="Arial" w:hAnsi="Arial" w:cs="Arial"/>
          <w:sz w:val="18"/>
          <w:szCs w:val="18"/>
        </w:rPr>
      </w:pPr>
      <w:r w:rsidRPr="008367BC">
        <w:rPr>
          <w:rFonts w:ascii="Arial" w:hAnsi="Arial" w:cs="Arial"/>
          <w:sz w:val="18"/>
          <w:szCs w:val="18"/>
        </w:rPr>
        <w:t>Wskaźniki:</w:t>
      </w:r>
    </w:p>
    <w:p w14:paraId="1D128A9D" w14:textId="77777777" w:rsidR="007B538E" w:rsidRPr="008367BC" w:rsidRDefault="007B538E" w:rsidP="007B538E">
      <w:pPr>
        <w:spacing w:after="120"/>
        <w:jc w:val="both"/>
        <w:rPr>
          <w:rFonts w:ascii="Arial" w:hAnsi="Arial" w:cs="Arial"/>
          <w:sz w:val="18"/>
          <w:szCs w:val="18"/>
        </w:rPr>
      </w:pPr>
      <w:r w:rsidRPr="008367BC">
        <w:rPr>
          <w:rFonts w:ascii="Arial" w:hAnsi="Arial" w:cs="Arial"/>
          <w:sz w:val="18"/>
          <w:szCs w:val="18"/>
        </w:rPr>
        <w:t xml:space="preserve">W trakcie trwania okresu gwarancji sprawdzeniu podlegać będzie: </w:t>
      </w:r>
    </w:p>
    <w:p w14:paraId="6B5C7D2D" w14:textId="77777777" w:rsidR="007B538E" w:rsidRPr="008367BC" w:rsidRDefault="007B538E" w:rsidP="007B538E">
      <w:pPr>
        <w:numPr>
          <w:ilvl w:val="0"/>
          <w:numId w:val="30"/>
        </w:numPr>
        <w:spacing w:after="120"/>
        <w:jc w:val="both"/>
        <w:rPr>
          <w:rFonts w:ascii="Arial" w:hAnsi="Arial" w:cs="Arial"/>
          <w:sz w:val="18"/>
          <w:szCs w:val="18"/>
        </w:rPr>
      </w:pPr>
      <w:r w:rsidRPr="008367BC">
        <w:rPr>
          <w:rFonts w:ascii="Arial" w:hAnsi="Arial" w:cs="Arial"/>
          <w:sz w:val="18"/>
          <w:szCs w:val="18"/>
        </w:rPr>
        <w:t>odporność na działanie warunków atmosferycznych,</w:t>
      </w:r>
    </w:p>
    <w:p w14:paraId="563B26E0" w14:textId="77777777" w:rsidR="007B538E" w:rsidRPr="008367BC" w:rsidRDefault="007B538E" w:rsidP="007B538E">
      <w:pPr>
        <w:numPr>
          <w:ilvl w:val="0"/>
          <w:numId w:val="30"/>
        </w:numPr>
        <w:spacing w:after="120"/>
        <w:jc w:val="both"/>
        <w:rPr>
          <w:rFonts w:ascii="Arial" w:hAnsi="Arial" w:cs="Arial"/>
          <w:sz w:val="18"/>
          <w:szCs w:val="18"/>
        </w:rPr>
      </w:pPr>
      <w:r w:rsidRPr="008367BC">
        <w:rPr>
          <w:rFonts w:ascii="Arial" w:hAnsi="Arial" w:cs="Arial"/>
          <w:sz w:val="18"/>
          <w:szCs w:val="18"/>
        </w:rPr>
        <w:t>szczelności konstrukcji - należy zwrócić uwagę na ułożenie paneli, ich uszczelnienie oraz posadowienie pomiędzy słupami.</w:t>
      </w:r>
    </w:p>
    <w:p w14:paraId="364F3F36" w14:textId="77777777" w:rsidR="007B538E" w:rsidRPr="008367BC" w:rsidRDefault="007B538E" w:rsidP="007B538E">
      <w:pPr>
        <w:numPr>
          <w:ilvl w:val="0"/>
          <w:numId w:val="29"/>
        </w:numPr>
        <w:spacing w:after="120"/>
        <w:jc w:val="both"/>
        <w:rPr>
          <w:rFonts w:ascii="Arial" w:hAnsi="Arial" w:cs="Arial"/>
          <w:sz w:val="18"/>
          <w:szCs w:val="18"/>
        </w:rPr>
      </w:pPr>
      <w:r w:rsidRPr="008367BC">
        <w:rPr>
          <w:rFonts w:ascii="Arial" w:hAnsi="Arial" w:cs="Arial"/>
          <w:sz w:val="18"/>
          <w:szCs w:val="18"/>
        </w:rPr>
        <w:t>Dopuszczalne formy uszkodzeń i nieprawidłowości określane na podstawie oceny wizualnej:</w:t>
      </w:r>
    </w:p>
    <w:p w14:paraId="1938BA4F" w14:textId="77777777" w:rsidR="007B538E" w:rsidRPr="008367BC" w:rsidRDefault="007B538E" w:rsidP="007B538E">
      <w:pPr>
        <w:numPr>
          <w:ilvl w:val="0"/>
          <w:numId w:val="31"/>
        </w:numPr>
        <w:spacing w:after="120"/>
        <w:jc w:val="both"/>
        <w:rPr>
          <w:rFonts w:ascii="Arial" w:hAnsi="Arial" w:cs="Arial"/>
          <w:sz w:val="18"/>
          <w:szCs w:val="18"/>
        </w:rPr>
      </w:pPr>
      <w:r w:rsidRPr="008367BC">
        <w:rPr>
          <w:rFonts w:ascii="Arial" w:hAnsi="Arial" w:cs="Arial"/>
          <w:sz w:val="18"/>
          <w:szCs w:val="18"/>
        </w:rPr>
        <w:t>odporność na działanie warunków atmosferycznych – oceniana będzie na podstawie stopnia zniszczenia powierzchni pojedynczego panelu. Łączna powierzchnia uszkodzeń nie powinna być większa niż 2% powierzchni podlegającej ocenie a maksymalna powierzchnia pojedynczego uszkodzenia nie powinna przekraczać 0,1 m</w:t>
      </w:r>
      <w:r w:rsidRPr="008367BC">
        <w:rPr>
          <w:rFonts w:ascii="Arial" w:hAnsi="Arial" w:cs="Arial"/>
          <w:sz w:val="18"/>
          <w:szCs w:val="18"/>
          <w:vertAlign w:val="superscript"/>
        </w:rPr>
        <w:t>2</w:t>
      </w:r>
      <w:r w:rsidRPr="008367BC">
        <w:rPr>
          <w:rFonts w:ascii="Arial" w:hAnsi="Arial" w:cs="Arial"/>
          <w:sz w:val="18"/>
          <w:szCs w:val="18"/>
        </w:rPr>
        <w:t>,</w:t>
      </w:r>
    </w:p>
    <w:p w14:paraId="30502B50" w14:textId="77777777" w:rsidR="007B538E" w:rsidRPr="008367BC" w:rsidRDefault="007B538E" w:rsidP="007B538E">
      <w:pPr>
        <w:numPr>
          <w:ilvl w:val="0"/>
          <w:numId w:val="31"/>
        </w:numPr>
        <w:spacing w:after="120"/>
        <w:jc w:val="both"/>
        <w:rPr>
          <w:rFonts w:ascii="Arial" w:hAnsi="Arial" w:cs="Arial"/>
          <w:sz w:val="18"/>
          <w:szCs w:val="18"/>
        </w:rPr>
      </w:pPr>
      <w:r w:rsidRPr="008367BC">
        <w:rPr>
          <w:rFonts w:ascii="Arial" w:hAnsi="Arial" w:cs="Arial"/>
          <w:sz w:val="18"/>
          <w:szCs w:val="18"/>
        </w:rPr>
        <w:t>rozchylenie, rozejście i przesunięcia (pionowe i poziome) paneli względem siebie powodujące powstanie nieszczelności między poszczególnymi elementami o szerokości nie większej niż 1 cm, o ile nie będzie to powodować zagrożenia wypadnięcia elementu oraz zostanie uszczelniona w sposób zapewniający odpowiednią skuteczność akustyczną ekranu.</w:t>
      </w:r>
    </w:p>
    <w:p w14:paraId="0E9A61E6" w14:textId="77777777" w:rsidR="007B538E" w:rsidRPr="008367BC" w:rsidRDefault="007B538E" w:rsidP="007B538E">
      <w:pPr>
        <w:spacing w:after="120"/>
        <w:ind w:left="720"/>
        <w:jc w:val="both"/>
        <w:rPr>
          <w:rFonts w:ascii="Arial" w:hAnsi="Arial" w:cs="Arial"/>
          <w:sz w:val="18"/>
          <w:szCs w:val="18"/>
        </w:rPr>
      </w:pPr>
    </w:p>
    <w:p w14:paraId="53AA731E" w14:textId="77777777" w:rsidR="007B538E" w:rsidRPr="008367BC" w:rsidRDefault="007B538E" w:rsidP="007B538E">
      <w:pPr>
        <w:numPr>
          <w:ilvl w:val="1"/>
          <w:numId w:val="15"/>
        </w:numPr>
        <w:spacing w:after="120"/>
        <w:ind w:left="709" w:hanging="709"/>
        <w:jc w:val="both"/>
        <w:rPr>
          <w:rFonts w:ascii="Arial" w:hAnsi="Arial" w:cs="Arial"/>
          <w:b/>
          <w:bCs/>
          <w:sz w:val="18"/>
          <w:szCs w:val="18"/>
        </w:rPr>
      </w:pPr>
      <w:r w:rsidRPr="008367BC">
        <w:rPr>
          <w:rFonts w:ascii="Arial" w:hAnsi="Arial" w:cs="Arial"/>
          <w:b/>
          <w:bCs/>
          <w:sz w:val="18"/>
          <w:szCs w:val="18"/>
        </w:rPr>
        <w:t>Ekrany i wały ziemne</w:t>
      </w:r>
    </w:p>
    <w:p w14:paraId="4D0F3970" w14:textId="77777777" w:rsidR="007B538E" w:rsidRPr="008367BC" w:rsidRDefault="007B538E" w:rsidP="007B538E">
      <w:pPr>
        <w:numPr>
          <w:ilvl w:val="0"/>
          <w:numId w:val="32"/>
        </w:numPr>
        <w:spacing w:after="120"/>
        <w:jc w:val="both"/>
        <w:rPr>
          <w:rFonts w:ascii="Arial" w:hAnsi="Arial" w:cs="Arial"/>
          <w:sz w:val="18"/>
          <w:szCs w:val="18"/>
        </w:rPr>
      </w:pPr>
      <w:r w:rsidRPr="008367BC">
        <w:rPr>
          <w:rFonts w:ascii="Arial" w:hAnsi="Arial" w:cs="Arial"/>
          <w:sz w:val="18"/>
          <w:szCs w:val="18"/>
        </w:rPr>
        <w:t>Wskaźniki:</w:t>
      </w:r>
    </w:p>
    <w:p w14:paraId="5C1B5AF9" w14:textId="77777777" w:rsidR="007B538E" w:rsidRPr="008367BC" w:rsidRDefault="007B538E" w:rsidP="007B538E">
      <w:pPr>
        <w:spacing w:after="120"/>
        <w:jc w:val="both"/>
        <w:rPr>
          <w:rFonts w:ascii="Arial" w:hAnsi="Arial" w:cs="Arial"/>
          <w:sz w:val="18"/>
          <w:szCs w:val="18"/>
        </w:rPr>
      </w:pPr>
      <w:r w:rsidRPr="008367BC">
        <w:rPr>
          <w:rFonts w:ascii="Arial" w:hAnsi="Arial" w:cs="Arial"/>
          <w:sz w:val="18"/>
          <w:szCs w:val="18"/>
        </w:rPr>
        <w:t xml:space="preserve">W trakcie trwania okresu gwarancji sprawdzeniu podlegać będzie: </w:t>
      </w:r>
    </w:p>
    <w:p w14:paraId="207DE1C5" w14:textId="77777777" w:rsidR="007B538E" w:rsidRPr="008367BC" w:rsidRDefault="007B538E" w:rsidP="007B538E">
      <w:pPr>
        <w:numPr>
          <w:ilvl w:val="0"/>
          <w:numId w:val="33"/>
        </w:numPr>
        <w:spacing w:after="120"/>
        <w:jc w:val="both"/>
        <w:rPr>
          <w:rFonts w:ascii="Arial" w:hAnsi="Arial" w:cs="Arial"/>
          <w:sz w:val="18"/>
          <w:szCs w:val="18"/>
        </w:rPr>
      </w:pPr>
      <w:r w:rsidRPr="008367BC">
        <w:rPr>
          <w:rFonts w:ascii="Arial" w:hAnsi="Arial" w:cs="Arial"/>
          <w:sz w:val="18"/>
          <w:szCs w:val="18"/>
        </w:rPr>
        <w:t>szczelność konstrukcji – na podstawie oceny wizualnej, należy zwrócić uwagę czy widoczne są ubytki konstrukcji oraz wypełnienia, w tym trwałość konstrukcji stalowej o ile była stosowana,</w:t>
      </w:r>
    </w:p>
    <w:p w14:paraId="184AF7D8" w14:textId="77777777" w:rsidR="007B538E" w:rsidRPr="008367BC" w:rsidRDefault="007B538E" w:rsidP="007B538E">
      <w:pPr>
        <w:numPr>
          <w:ilvl w:val="0"/>
          <w:numId w:val="33"/>
        </w:numPr>
        <w:spacing w:after="120"/>
        <w:jc w:val="both"/>
        <w:rPr>
          <w:rFonts w:ascii="Arial" w:hAnsi="Arial" w:cs="Arial"/>
          <w:sz w:val="18"/>
          <w:szCs w:val="18"/>
        </w:rPr>
      </w:pPr>
      <w:r w:rsidRPr="008367BC">
        <w:rPr>
          <w:rFonts w:ascii="Arial" w:hAnsi="Arial" w:cs="Arial"/>
          <w:sz w:val="18"/>
          <w:szCs w:val="18"/>
        </w:rPr>
        <w:lastRenderedPageBreak/>
        <w:t>stateczność konstrukcji – na podstawie oceny wizualnej należy sprawdzić, czy nie są widoczne odchylenia pionowe konstrukcji lub obsunięcia na powierzchni ziemnej skarp.</w:t>
      </w:r>
    </w:p>
    <w:p w14:paraId="0F12D291" w14:textId="77777777" w:rsidR="007B538E" w:rsidRPr="008367BC" w:rsidRDefault="007B538E" w:rsidP="007B538E">
      <w:pPr>
        <w:numPr>
          <w:ilvl w:val="0"/>
          <w:numId w:val="32"/>
        </w:numPr>
        <w:spacing w:after="120"/>
        <w:jc w:val="both"/>
        <w:rPr>
          <w:rFonts w:ascii="Arial" w:hAnsi="Arial" w:cs="Arial"/>
          <w:sz w:val="18"/>
          <w:szCs w:val="18"/>
        </w:rPr>
      </w:pPr>
      <w:r w:rsidRPr="008367BC">
        <w:rPr>
          <w:rFonts w:ascii="Arial" w:hAnsi="Arial" w:cs="Arial"/>
          <w:sz w:val="18"/>
          <w:szCs w:val="18"/>
        </w:rPr>
        <w:t>Nie dopuszcza się utraty szczelności i stateczności konstrukcji ekranów i wałów ziemnych.</w:t>
      </w:r>
    </w:p>
    <w:p w14:paraId="6024C7E3" w14:textId="77777777" w:rsidR="007B538E" w:rsidRPr="008367BC" w:rsidRDefault="007B538E" w:rsidP="007B538E">
      <w:pPr>
        <w:numPr>
          <w:ilvl w:val="0"/>
          <w:numId w:val="32"/>
        </w:numPr>
        <w:spacing w:after="120"/>
        <w:jc w:val="both"/>
        <w:rPr>
          <w:rFonts w:ascii="Arial" w:hAnsi="Arial" w:cs="Arial"/>
          <w:sz w:val="18"/>
          <w:szCs w:val="18"/>
        </w:rPr>
      </w:pPr>
      <w:r w:rsidRPr="008367BC">
        <w:rPr>
          <w:rFonts w:ascii="Arial" w:hAnsi="Arial" w:cs="Arial"/>
          <w:sz w:val="18"/>
          <w:szCs w:val="18"/>
        </w:rPr>
        <w:t>W przypadku dokonania obsadzenia ekranów i wałów ziemnych roślinami pnącymi, roślinność tę należy objąć 3-letnim utrzymaniem polegającym na odchwaszczaniu i zasilaniu roślin oraz wymianie tych, które się nie przyjęły. Po upływie okresu utrzymania zieleni, należy dokonać oceny stanu jej zachowania i w przypadku stwierdzenie miejsc pozbawionych roślinności dokonać nasadzeń uzupełniających. Nasadzenia uzupełniające objęte są kolejnym 3-letnim okresem utrzymania.</w:t>
      </w:r>
    </w:p>
    <w:p w14:paraId="7E1526AE" w14:textId="77777777" w:rsidR="007B538E" w:rsidRPr="008367BC" w:rsidRDefault="007B538E" w:rsidP="007B538E">
      <w:pPr>
        <w:spacing w:after="120"/>
        <w:ind w:left="1065"/>
        <w:jc w:val="both"/>
        <w:rPr>
          <w:rFonts w:ascii="Arial" w:hAnsi="Arial" w:cs="Arial"/>
          <w:sz w:val="18"/>
          <w:szCs w:val="18"/>
        </w:rPr>
      </w:pPr>
    </w:p>
    <w:p w14:paraId="0C79CB8A" w14:textId="77777777" w:rsidR="007B538E" w:rsidRPr="008367BC" w:rsidRDefault="007B538E" w:rsidP="007B538E">
      <w:pPr>
        <w:numPr>
          <w:ilvl w:val="1"/>
          <w:numId w:val="15"/>
        </w:numPr>
        <w:spacing w:after="120"/>
        <w:ind w:left="709" w:hanging="709"/>
        <w:jc w:val="both"/>
        <w:rPr>
          <w:rFonts w:ascii="Arial" w:hAnsi="Arial" w:cs="Arial"/>
          <w:b/>
          <w:bCs/>
          <w:sz w:val="18"/>
          <w:szCs w:val="18"/>
        </w:rPr>
      </w:pPr>
      <w:r w:rsidRPr="008367BC">
        <w:rPr>
          <w:rFonts w:ascii="Arial" w:hAnsi="Arial" w:cs="Arial"/>
          <w:b/>
          <w:bCs/>
          <w:sz w:val="18"/>
          <w:szCs w:val="18"/>
        </w:rPr>
        <w:t xml:space="preserve">Elementy metalowe konstrukcji ekranów (słupy, ramy itd.) </w:t>
      </w:r>
    </w:p>
    <w:p w14:paraId="37821705" w14:textId="77777777" w:rsidR="007B538E" w:rsidRPr="008367BC" w:rsidRDefault="007B538E" w:rsidP="007B538E">
      <w:pPr>
        <w:numPr>
          <w:ilvl w:val="0"/>
          <w:numId w:val="34"/>
        </w:numPr>
        <w:spacing w:after="120"/>
        <w:jc w:val="both"/>
        <w:rPr>
          <w:rFonts w:ascii="Arial" w:hAnsi="Arial" w:cs="Arial"/>
          <w:sz w:val="18"/>
          <w:szCs w:val="18"/>
        </w:rPr>
      </w:pPr>
      <w:r w:rsidRPr="008367BC">
        <w:rPr>
          <w:rFonts w:ascii="Arial" w:hAnsi="Arial" w:cs="Arial"/>
          <w:sz w:val="18"/>
          <w:szCs w:val="18"/>
        </w:rPr>
        <w:t>Wskaźniki:</w:t>
      </w:r>
    </w:p>
    <w:p w14:paraId="14B9E2E7" w14:textId="77777777" w:rsidR="007B538E" w:rsidRPr="008367BC" w:rsidRDefault="007B538E" w:rsidP="007B538E">
      <w:pPr>
        <w:spacing w:after="120"/>
        <w:jc w:val="both"/>
        <w:rPr>
          <w:rFonts w:ascii="Arial" w:hAnsi="Arial" w:cs="Arial"/>
          <w:sz w:val="18"/>
          <w:szCs w:val="18"/>
        </w:rPr>
      </w:pPr>
      <w:r w:rsidRPr="008367BC">
        <w:rPr>
          <w:rFonts w:ascii="Arial" w:hAnsi="Arial" w:cs="Arial"/>
          <w:sz w:val="18"/>
          <w:szCs w:val="18"/>
        </w:rPr>
        <w:t xml:space="preserve">W trakcie trwania okresu gwarancji sprawdzeniu podlegać będzie: </w:t>
      </w:r>
    </w:p>
    <w:p w14:paraId="3A42615B" w14:textId="77777777" w:rsidR="007B538E" w:rsidRPr="008367BC" w:rsidRDefault="007B538E" w:rsidP="007B538E">
      <w:pPr>
        <w:numPr>
          <w:ilvl w:val="0"/>
          <w:numId w:val="35"/>
        </w:numPr>
        <w:spacing w:after="120"/>
        <w:jc w:val="both"/>
        <w:rPr>
          <w:rFonts w:ascii="Arial" w:hAnsi="Arial" w:cs="Arial"/>
          <w:sz w:val="18"/>
          <w:szCs w:val="18"/>
        </w:rPr>
      </w:pPr>
      <w:r w:rsidRPr="008367BC">
        <w:rPr>
          <w:rFonts w:ascii="Arial" w:hAnsi="Arial" w:cs="Arial"/>
          <w:sz w:val="18"/>
          <w:szCs w:val="18"/>
        </w:rPr>
        <w:t>stan powłoki zabezpieczającej,</w:t>
      </w:r>
    </w:p>
    <w:p w14:paraId="1F9DA4B2" w14:textId="77777777" w:rsidR="007B538E" w:rsidRPr="008367BC" w:rsidRDefault="007B538E" w:rsidP="007B538E">
      <w:pPr>
        <w:numPr>
          <w:ilvl w:val="0"/>
          <w:numId w:val="35"/>
        </w:numPr>
        <w:spacing w:after="120"/>
        <w:jc w:val="both"/>
        <w:rPr>
          <w:rFonts w:ascii="Arial" w:hAnsi="Arial" w:cs="Arial"/>
          <w:sz w:val="18"/>
          <w:szCs w:val="18"/>
        </w:rPr>
      </w:pPr>
      <w:r w:rsidRPr="008367BC">
        <w:rPr>
          <w:rFonts w:ascii="Arial" w:hAnsi="Arial" w:cs="Arial"/>
          <w:sz w:val="18"/>
          <w:szCs w:val="18"/>
        </w:rPr>
        <w:t>stabilność konstrukcji.</w:t>
      </w:r>
    </w:p>
    <w:p w14:paraId="7DC402D3" w14:textId="77777777" w:rsidR="007B538E" w:rsidRPr="008367BC" w:rsidRDefault="007B538E" w:rsidP="007B538E">
      <w:pPr>
        <w:numPr>
          <w:ilvl w:val="0"/>
          <w:numId w:val="34"/>
        </w:numPr>
        <w:spacing w:after="120"/>
        <w:jc w:val="both"/>
        <w:rPr>
          <w:rFonts w:ascii="Arial" w:hAnsi="Arial" w:cs="Arial"/>
          <w:sz w:val="18"/>
          <w:szCs w:val="18"/>
        </w:rPr>
      </w:pPr>
      <w:r w:rsidRPr="008367BC">
        <w:rPr>
          <w:rFonts w:ascii="Arial" w:hAnsi="Arial" w:cs="Arial"/>
          <w:sz w:val="18"/>
          <w:szCs w:val="18"/>
        </w:rPr>
        <w:t>Dopuszczalne formy uszkodzeń i nieprawidłowości określane na podstawie oceny wizualnej:</w:t>
      </w:r>
    </w:p>
    <w:p w14:paraId="63AD4166" w14:textId="77777777" w:rsidR="007B538E" w:rsidRPr="008367BC" w:rsidRDefault="007B538E" w:rsidP="007B538E">
      <w:pPr>
        <w:numPr>
          <w:ilvl w:val="0"/>
          <w:numId w:val="36"/>
        </w:numPr>
        <w:spacing w:after="120"/>
        <w:jc w:val="both"/>
        <w:rPr>
          <w:rFonts w:ascii="Arial" w:hAnsi="Arial" w:cs="Arial"/>
          <w:sz w:val="18"/>
          <w:szCs w:val="18"/>
        </w:rPr>
      </w:pPr>
      <w:r w:rsidRPr="008367BC">
        <w:rPr>
          <w:rFonts w:ascii="Arial" w:hAnsi="Arial" w:cs="Arial"/>
          <w:sz w:val="18"/>
          <w:szCs w:val="18"/>
        </w:rPr>
        <w:t>stan powłok zabezpieczających przed korozją należy ocenić pod względem stopnia zmian objawiających się przez złuszczenia, spękania, pofałdowania, tworzenie się pęcherzy itp. Dopuszczalny jest stopień zmian powłoki antykorozyjnej słupa na poziomie 10% powierzchni danego elementu,</w:t>
      </w:r>
    </w:p>
    <w:p w14:paraId="08B2E3DD" w14:textId="77777777" w:rsidR="007B538E" w:rsidRPr="008367BC" w:rsidRDefault="007B538E" w:rsidP="007B538E">
      <w:pPr>
        <w:numPr>
          <w:ilvl w:val="0"/>
          <w:numId w:val="36"/>
        </w:numPr>
        <w:spacing w:after="120"/>
        <w:jc w:val="both"/>
        <w:rPr>
          <w:rFonts w:ascii="Arial" w:hAnsi="Arial" w:cs="Arial"/>
          <w:sz w:val="18"/>
          <w:szCs w:val="18"/>
        </w:rPr>
      </w:pPr>
      <w:r w:rsidRPr="008367BC">
        <w:rPr>
          <w:rFonts w:ascii="Arial" w:hAnsi="Arial" w:cs="Arial"/>
          <w:sz w:val="18"/>
          <w:szCs w:val="18"/>
        </w:rPr>
        <w:t>odkształcenie konstrukcji słupów stalowych powodujące powstanie odchylenia w pionie oraz nieszczelności między poszczególnymi elementami (płytami). Ze względu na trudny do wskazania liczbowy wskaźnik dopuszczalności takiego odkształcenia, ocena odbywać się będzie na podstawie opinii Komisji Odbiorowej, która uwzględniać będzie przede wszystkim stopień zagrożenia stabilności konstrukcji i bezpieczeństwa otoczenia.</w:t>
      </w:r>
    </w:p>
    <w:p w14:paraId="51DC47C9" w14:textId="77777777" w:rsidR="007B538E" w:rsidRPr="008367BC" w:rsidRDefault="007B538E" w:rsidP="007B538E">
      <w:pPr>
        <w:spacing w:after="120"/>
        <w:ind w:left="720"/>
        <w:jc w:val="both"/>
        <w:rPr>
          <w:rFonts w:ascii="Arial" w:hAnsi="Arial" w:cs="Arial"/>
          <w:sz w:val="18"/>
          <w:szCs w:val="18"/>
        </w:rPr>
      </w:pPr>
    </w:p>
    <w:p w14:paraId="0ABAD432" w14:textId="77777777" w:rsidR="007B538E" w:rsidRPr="008367BC" w:rsidRDefault="007B538E" w:rsidP="007B538E">
      <w:pPr>
        <w:numPr>
          <w:ilvl w:val="1"/>
          <w:numId w:val="15"/>
        </w:numPr>
        <w:spacing w:after="120"/>
        <w:ind w:left="709" w:hanging="709"/>
        <w:jc w:val="both"/>
        <w:rPr>
          <w:rFonts w:ascii="Arial" w:hAnsi="Arial" w:cs="Arial"/>
          <w:b/>
          <w:bCs/>
          <w:sz w:val="18"/>
          <w:szCs w:val="18"/>
        </w:rPr>
      </w:pPr>
      <w:r w:rsidRPr="008367BC">
        <w:rPr>
          <w:rFonts w:ascii="Arial" w:hAnsi="Arial" w:cs="Arial"/>
          <w:b/>
          <w:bCs/>
          <w:sz w:val="18"/>
          <w:szCs w:val="18"/>
        </w:rPr>
        <w:t>Elementy betonowe konstrukcji ekranów (widoczne części pali, podwalina ekranu)</w:t>
      </w:r>
    </w:p>
    <w:p w14:paraId="3C6B4467" w14:textId="77777777" w:rsidR="007B538E" w:rsidRPr="008367BC" w:rsidRDefault="007B538E" w:rsidP="007B538E">
      <w:pPr>
        <w:numPr>
          <w:ilvl w:val="0"/>
          <w:numId w:val="37"/>
        </w:numPr>
        <w:spacing w:after="120"/>
        <w:jc w:val="both"/>
        <w:rPr>
          <w:rFonts w:ascii="Arial" w:hAnsi="Arial" w:cs="Arial"/>
          <w:sz w:val="18"/>
          <w:szCs w:val="18"/>
        </w:rPr>
      </w:pPr>
      <w:r w:rsidRPr="008367BC">
        <w:rPr>
          <w:rFonts w:ascii="Arial" w:hAnsi="Arial" w:cs="Arial"/>
          <w:sz w:val="18"/>
          <w:szCs w:val="18"/>
        </w:rPr>
        <w:t>Wskaźniki:</w:t>
      </w:r>
    </w:p>
    <w:p w14:paraId="7A2BECC5" w14:textId="77777777" w:rsidR="007B538E" w:rsidRPr="008367BC" w:rsidRDefault="007B538E" w:rsidP="007B538E">
      <w:pPr>
        <w:spacing w:after="120"/>
        <w:jc w:val="both"/>
        <w:rPr>
          <w:rFonts w:ascii="Arial" w:hAnsi="Arial" w:cs="Arial"/>
          <w:sz w:val="18"/>
          <w:szCs w:val="18"/>
        </w:rPr>
      </w:pPr>
      <w:r w:rsidRPr="008367BC">
        <w:rPr>
          <w:rFonts w:ascii="Arial" w:hAnsi="Arial" w:cs="Arial"/>
          <w:sz w:val="18"/>
          <w:szCs w:val="18"/>
        </w:rPr>
        <w:t xml:space="preserve">W trakcie trwania okresu gwarancji sprawdzeniu podlegać będzie: </w:t>
      </w:r>
    </w:p>
    <w:p w14:paraId="02273B1B" w14:textId="77777777" w:rsidR="007B538E" w:rsidRPr="008367BC" w:rsidRDefault="007B538E" w:rsidP="007B538E">
      <w:pPr>
        <w:numPr>
          <w:ilvl w:val="0"/>
          <w:numId w:val="38"/>
        </w:numPr>
        <w:spacing w:after="120"/>
        <w:jc w:val="both"/>
        <w:rPr>
          <w:rFonts w:ascii="Arial" w:hAnsi="Arial" w:cs="Arial"/>
          <w:sz w:val="18"/>
          <w:szCs w:val="18"/>
        </w:rPr>
      </w:pPr>
      <w:r w:rsidRPr="008367BC">
        <w:rPr>
          <w:rFonts w:ascii="Arial" w:hAnsi="Arial" w:cs="Arial"/>
          <w:sz w:val="18"/>
          <w:szCs w:val="18"/>
        </w:rPr>
        <w:t>odporność na działanie warunków atmosferycznych,</w:t>
      </w:r>
    </w:p>
    <w:p w14:paraId="36131FE6" w14:textId="77777777" w:rsidR="007B538E" w:rsidRPr="008367BC" w:rsidRDefault="007B538E" w:rsidP="007B538E">
      <w:pPr>
        <w:numPr>
          <w:ilvl w:val="0"/>
          <w:numId w:val="38"/>
        </w:numPr>
        <w:spacing w:after="120"/>
        <w:jc w:val="both"/>
        <w:rPr>
          <w:rFonts w:ascii="Arial" w:hAnsi="Arial" w:cs="Arial"/>
          <w:sz w:val="18"/>
          <w:szCs w:val="18"/>
        </w:rPr>
      </w:pPr>
      <w:r w:rsidRPr="008367BC">
        <w:rPr>
          <w:rFonts w:ascii="Arial" w:hAnsi="Arial" w:cs="Arial"/>
          <w:sz w:val="18"/>
          <w:szCs w:val="18"/>
        </w:rPr>
        <w:t>sztywność materiału,</w:t>
      </w:r>
    </w:p>
    <w:p w14:paraId="16BB9107" w14:textId="77777777" w:rsidR="007B538E" w:rsidRPr="008367BC" w:rsidRDefault="007B538E" w:rsidP="007B538E">
      <w:pPr>
        <w:numPr>
          <w:ilvl w:val="0"/>
          <w:numId w:val="38"/>
        </w:numPr>
        <w:spacing w:after="120"/>
        <w:jc w:val="both"/>
        <w:rPr>
          <w:rFonts w:ascii="Arial" w:hAnsi="Arial" w:cs="Arial"/>
          <w:sz w:val="18"/>
          <w:szCs w:val="18"/>
        </w:rPr>
      </w:pPr>
      <w:r w:rsidRPr="008367BC">
        <w:rPr>
          <w:rFonts w:ascii="Arial" w:hAnsi="Arial" w:cs="Arial"/>
          <w:sz w:val="18"/>
          <w:szCs w:val="18"/>
        </w:rPr>
        <w:t>szczelności konstrukcji - należy zwrócić uwagę na umocowanie paneli pomiędzy słupami.</w:t>
      </w:r>
    </w:p>
    <w:p w14:paraId="34B77530" w14:textId="77777777" w:rsidR="007B538E" w:rsidRPr="008367BC" w:rsidRDefault="007B538E" w:rsidP="007B538E">
      <w:pPr>
        <w:numPr>
          <w:ilvl w:val="0"/>
          <w:numId w:val="37"/>
        </w:numPr>
        <w:spacing w:after="120"/>
        <w:jc w:val="both"/>
        <w:rPr>
          <w:rFonts w:ascii="Arial" w:hAnsi="Arial" w:cs="Arial"/>
          <w:sz w:val="18"/>
          <w:szCs w:val="18"/>
        </w:rPr>
      </w:pPr>
      <w:r w:rsidRPr="008367BC">
        <w:rPr>
          <w:rFonts w:ascii="Arial" w:hAnsi="Arial" w:cs="Arial"/>
          <w:sz w:val="18"/>
          <w:szCs w:val="18"/>
        </w:rPr>
        <w:t>Dopuszczalne formy uszkodzeń i nieprawidłowości określane na podstawie oceny wizualnej:</w:t>
      </w:r>
    </w:p>
    <w:p w14:paraId="7D177C63" w14:textId="77777777" w:rsidR="007B538E" w:rsidRPr="008367BC" w:rsidRDefault="007B538E" w:rsidP="007B538E">
      <w:pPr>
        <w:numPr>
          <w:ilvl w:val="0"/>
          <w:numId w:val="39"/>
        </w:numPr>
        <w:spacing w:after="120"/>
        <w:jc w:val="both"/>
        <w:rPr>
          <w:rFonts w:ascii="Arial" w:hAnsi="Arial" w:cs="Arial"/>
          <w:sz w:val="18"/>
          <w:szCs w:val="18"/>
        </w:rPr>
      </w:pPr>
      <w:r w:rsidRPr="008367BC">
        <w:rPr>
          <w:rFonts w:ascii="Arial" w:hAnsi="Arial" w:cs="Arial"/>
          <w:sz w:val="18"/>
          <w:szCs w:val="18"/>
        </w:rPr>
        <w:t>odporność na działanie warunków atmosferycznych – łączna powierzchnia uszkodzeń nie powinna być większa niż 2% powierzchni podlegającej ocenie a maksymalna powierzchnia pojedynczego uszkodzenia nie powinna przekraczać 0,1 m</w:t>
      </w:r>
      <w:r w:rsidRPr="008367BC">
        <w:rPr>
          <w:rFonts w:ascii="Arial" w:hAnsi="Arial" w:cs="Arial"/>
          <w:sz w:val="18"/>
          <w:szCs w:val="18"/>
          <w:vertAlign w:val="superscript"/>
        </w:rPr>
        <w:t>2</w:t>
      </w:r>
      <w:r w:rsidRPr="008367BC">
        <w:rPr>
          <w:rFonts w:ascii="Arial" w:hAnsi="Arial" w:cs="Arial"/>
          <w:sz w:val="18"/>
          <w:szCs w:val="18"/>
        </w:rPr>
        <w:t>,</w:t>
      </w:r>
    </w:p>
    <w:p w14:paraId="090BECE3" w14:textId="77777777" w:rsidR="007B538E" w:rsidRPr="008367BC" w:rsidRDefault="007B538E" w:rsidP="007B538E">
      <w:pPr>
        <w:numPr>
          <w:ilvl w:val="0"/>
          <w:numId w:val="39"/>
        </w:numPr>
        <w:spacing w:after="120"/>
        <w:jc w:val="both"/>
        <w:rPr>
          <w:rFonts w:ascii="Arial" w:hAnsi="Arial" w:cs="Arial"/>
          <w:sz w:val="18"/>
          <w:szCs w:val="18"/>
        </w:rPr>
      </w:pPr>
      <w:r w:rsidRPr="008367BC">
        <w:rPr>
          <w:rFonts w:ascii="Arial" w:hAnsi="Arial" w:cs="Arial"/>
          <w:sz w:val="18"/>
          <w:szCs w:val="18"/>
        </w:rPr>
        <w:t>rozchylenie, rozejście i przesunięcia (pionowe i poziome) elementów względem siebie powodujące powstanie nieszczelności szerokości nie większej niż 2 cm, o ile nie będzie powodować to zagrożenia wypadnięcia elementu oraz zostanie uszczelniona w sposób zapewniający odpowiednią skuteczność akustyczną ekranu,</w:t>
      </w:r>
    </w:p>
    <w:p w14:paraId="298B6AF3" w14:textId="77777777" w:rsidR="007B538E" w:rsidRPr="008367BC" w:rsidRDefault="007B538E" w:rsidP="007B538E">
      <w:pPr>
        <w:numPr>
          <w:ilvl w:val="0"/>
          <w:numId w:val="39"/>
        </w:numPr>
        <w:spacing w:after="120"/>
        <w:jc w:val="both"/>
        <w:rPr>
          <w:rFonts w:ascii="Arial" w:hAnsi="Arial" w:cs="Arial"/>
          <w:sz w:val="18"/>
          <w:szCs w:val="18"/>
        </w:rPr>
      </w:pPr>
      <w:r w:rsidRPr="008367BC">
        <w:rPr>
          <w:rFonts w:ascii="Arial" w:hAnsi="Arial" w:cs="Arial"/>
          <w:sz w:val="18"/>
          <w:szCs w:val="18"/>
        </w:rPr>
        <w:t>nieszczelność pomiędzy podwaliną ekranu oraz gruntem – nie dopuszcza się nieszczelności pomiędzy podwaliną ekranu oraz gruntem, za wyjątkiem ekranu zlokalizowanego poza obrysem korony drogi (na skarpie), wówczas dopuszcza się poziom szczeliny o wysokości 3 cm na długości stanowiącej max 10 % długości.</w:t>
      </w:r>
    </w:p>
    <w:p w14:paraId="6492C5BD" w14:textId="77777777" w:rsidR="007B538E" w:rsidRPr="008367BC" w:rsidRDefault="007B538E" w:rsidP="007B538E">
      <w:pPr>
        <w:spacing w:after="120"/>
        <w:jc w:val="both"/>
        <w:rPr>
          <w:rFonts w:ascii="Arial" w:hAnsi="Arial" w:cs="Arial"/>
          <w:sz w:val="18"/>
          <w:szCs w:val="18"/>
        </w:rPr>
      </w:pPr>
      <w:r w:rsidRPr="008367BC">
        <w:rPr>
          <w:rFonts w:ascii="Arial" w:hAnsi="Arial" w:cs="Arial"/>
          <w:sz w:val="18"/>
          <w:szCs w:val="18"/>
        </w:rPr>
        <w:t>W przypadku wystąpienia wad o nieznacznych odstępstwach od dopuszczalnych form uszkodzeń i nieprawidłowości dopuszcza się naprawę uszkodzenia poprzez np. uszczelnieni bez konieczności wymiany danego elementu. Ocena konieczności wymiany lub napraw zostanie określona przez Komisję na podstawie wizji terenowej wykonywanej podczas przeglądu gwarancyjnego.</w:t>
      </w:r>
    </w:p>
    <w:p w14:paraId="6DB8DF37" w14:textId="77777777" w:rsidR="007B538E" w:rsidRPr="008367BC" w:rsidRDefault="007B538E" w:rsidP="007B538E">
      <w:pPr>
        <w:spacing w:after="120"/>
        <w:jc w:val="both"/>
        <w:rPr>
          <w:rFonts w:ascii="Arial" w:hAnsi="Arial" w:cs="Arial"/>
          <w:sz w:val="18"/>
          <w:szCs w:val="18"/>
        </w:rPr>
      </w:pPr>
      <w:r w:rsidRPr="008367BC">
        <w:rPr>
          <w:rFonts w:ascii="Arial" w:hAnsi="Arial" w:cs="Arial"/>
          <w:sz w:val="18"/>
          <w:szCs w:val="18"/>
        </w:rPr>
        <w:t>W przypadku wystąpienia wad przekraczających dopuszczalne formy uszkodzeń i nieprawidłowości w terminie wcześniejszym niż przewidywany maksymalny okres gwarancji (120 miesięcy) wady winny być usunięte na zasadach określonych w warunkach Gwarancji Jakości oraz protokole z przeglądu gwarancyjnego.</w:t>
      </w:r>
    </w:p>
    <w:p w14:paraId="68582EF9" w14:textId="77777777" w:rsidR="007B538E" w:rsidRPr="008367BC" w:rsidRDefault="007B538E" w:rsidP="007B538E">
      <w:pPr>
        <w:spacing w:after="120"/>
        <w:jc w:val="both"/>
        <w:rPr>
          <w:rFonts w:ascii="Arial" w:hAnsi="Arial" w:cs="Arial"/>
          <w:sz w:val="18"/>
          <w:szCs w:val="18"/>
        </w:rPr>
      </w:pPr>
    </w:p>
    <w:p w14:paraId="1A0EF92D" w14:textId="77777777" w:rsidR="007B538E" w:rsidRPr="008367BC" w:rsidRDefault="007B538E" w:rsidP="007B538E">
      <w:pPr>
        <w:spacing w:after="120"/>
        <w:jc w:val="both"/>
        <w:rPr>
          <w:rFonts w:ascii="Arial" w:hAnsi="Arial" w:cs="Arial"/>
          <w:sz w:val="18"/>
          <w:szCs w:val="18"/>
        </w:rPr>
      </w:pPr>
    </w:p>
    <w:p w14:paraId="4B79EA58" w14:textId="77777777" w:rsidR="007B538E" w:rsidRPr="008367BC" w:rsidRDefault="007B538E" w:rsidP="007B538E">
      <w:pPr>
        <w:spacing w:after="120"/>
        <w:jc w:val="both"/>
        <w:rPr>
          <w:rFonts w:ascii="Arial" w:hAnsi="Arial" w:cs="Arial"/>
          <w:sz w:val="18"/>
          <w:szCs w:val="18"/>
        </w:rPr>
      </w:pPr>
    </w:p>
    <w:p w14:paraId="1F201840" w14:textId="77777777" w:rsidR="007B538E" w:rsidRPr="008367BC" w:rsidRDefault="007B538E" w:rsidP="007B538E">
      <w:pPr>
        <w:spacing w:after="120"/>
        <w:jc w:val="both"/>
        <w:rPr>
          <w:rFonts w:ascii="Arial" w:hAnsi="Arial" w:cs="Arial"/>
          <w:b/>
          <w:sz w:val="18"/>
          <w:szCs w:val="18"/>
        </w:rPr>
      </w:pPr>
      <w:r w:rsidRPr="008367BC">
        <w:rPr>
          <w:rFonts w:ascii="Arial" w:hAnsi="Arial" w:cs="Arial"/>
          <w:b/>
          <w:sz w:val="18"/>
          <w:szCs w:val="18"/>
        </w:rPr>
        <w:t>PODPISY I PIECZĘCIE</w:t>
      </w:r>
    </w:p>
    <w:p w14:paraId="2D4F0068" w14:textId="77777777" w:rsidR="007B538E" w:rsidRPr="008367BC" w:rsidRDefault="007B538E" w:rsidP="007B538E">
      <w:pPr>
        <w:spacing w:after="120"/>
        <w:jc w:val="both"/>
        <w:rPr>
          <w:rFonts w:ascii="Arial" w:hAnsi="Arial" w:cs="Arial"/>
          <w:sz w:val="18"/>
          <w:szCs w:val="18"/>
        </w:rPr>
      </w:pPr>
    </w:p>
    <w:p w14:paraId="4ACF4F40" w14:textId="77777777" w:rsidR="007B538E" w:rsidRPr="008367BC" w:rsidRDefault="007B538E" w:rsidP="007B538E">
      <w:pPr>
        <w:spacing w:after="120"/>
        <w:jc w:val="both"/>
        <w:rPr>
          <w:rFonts w:ascii="Arial" w:hAnsi="Arial" w:cs="Arial"/>
          <w:sz w:val="18"/>
          <w:szCs w:val="18"/>
        </w:rPr>
      </w:pPr>
      <w:r w:rsidRPr="008367BC">
        <w:rPr>
          <w:rFonts w:ascii="Arial" w:hAnsi="Arial" w:cs="Arial"/>
          <w:b/>
          <w:sz w:val="18"/>
          <w:szCs w:val="18"/>
        </w:rPr>
        <w:t xml:space="preserve">W imieniu Gwaranta:                                         </w:t>
      </w:r>
    </w:p>
    <w:p w14:paraId="0E20304E" w14:textId="77777777" w:rsidR="007B538E" w:rsidRPr="008367BC" w:rsidRDefault="007B538E" w:rsidP="007B538E">
      <w:pPr>
        <w:pStyle w:val="Tekstpodstawowy"/>
        <w:spacing w:after="120"/>
        <w:ind w:left="0"/>
        <w:jc w:val="both"/>
        <w:rPr>
          <w:rFonts w:cs="Arial"/>
          <w:b/>
          <w:lang w:val="pl-PL"/>
        </w:rPr>
      </w:pPr>
    </w:p>
    <w:p w14:paraId="03E9E2F4" w14:textId="77777777" w:rsidR="007B538E" w:rsidRPr="008367BC" w:rsidRDefault="007B538E" w:rsidP="007B538E">
      <w:pPr>
        <w:pStyle w:val="Tekstpodstawowy"/>
        <w:spacing w:after="120"/>
        <w:ind w:left="0"/>
        <w:jc w:val="both"/>
        <w:rPr>
          <w:rFonts w:cs="Arial"/>
          <w:b/>
          <w:lang w:val="pl-PL"/>
        </w:rPr>
      </w:pPr>
      <w:r w:rsidRPr="008367BC">
        <w:rPr>
          <w:rFonts w:cs="Arial"/>
          <w:b/>
          <w:lang w:val="pl-PL"/>
        </w:rPr>
        <w:t>Część Szczegółowa stosowana ma być w łącznie z następującymi dokumentami:</w:t>
      </w:r>
    </w:p>
    <w:p w14:paraId="3EB44A1C" w14:textId="77777777" w:rsidR="007B538E" w:rsidRPr="008367BC" w:rsidRDefault="007B538E" w:rsidP="007B538E">
      <w:pPr>
        <w:pStyle w:val="Tekstpodstawowy"/>
        <w:numPr>
          <w:ilvl w:val="0"/>
          <w:numId w:val="2"/>
        </w:numPr>
        <w:spacing w:after="120"/>
        <w:ind w:left="357" w:hanging="357"/>
        <w:jc w:val="both"/>
        <w:rPr>
          <w:rFonts w:cs="Arial"/>
          <w:b/>
          <w:lang w:val="pl-PL"/>
        </w:rPr>
      </w:pPr>
      <w:r w:rsidRPr="008367BC">
        <w:rPr>
          <w:rFonts w:cs="Arial"/>
          <w:b/>
          <w:lang w:val="pl-PL"/>
        </w:rPr>
        <w:t>Instrukcja przeprowadzania przeglądów drogowych obiektów inżynierskich (załącznik do Zarządzenia nr 14 Generalnego Dyrektora Dróg Krajowych i Autostrad z 7 lipca 2005 r.);</w:t>
      </w:r>
    </w:p>
    <w:p w14:paraId="258BF91A" w14:textId="77777777" w:rsidR="007B538E" w:rsidRPr="008367BC" w:rsidRDefault="007B538E" w:rsidP="007B538E">
      <w:pPr>
        <w:pStyle w:val="Tekstpodstawowy"/>
        <w:numPr>
          <w:ilvl w:val="0"/>
          <w:numId w:val="2"/>
        </w:numPr>
        <w:spacing w:after="120"/>
        <w:ind w:left="357" w:hanging="357"/>
        <w:jc w:val="both"/>
        <w:rPr>
          <w:rFonts w:cs="Arial"/>
          <w:b/>
          <w:lang w:val="pl-PL"/>
        </w:rPr>
      </w:pPr>
      <w:r w:rsidRPr="008367BC">
        <w:rPr>
          <w:rFonts w:cs="Arial"/>
          <w:b/>
          <w:lang w:val="pl-PL"/>
        </w:rPr>
        <w:t>Zasady stosowania skali ocen punktowych stanu technicznego i przydatności do użytkowania drogowych obiektów inżynierskich (załącznik do Zarządzenia nr 64 Generalnego Dyrektora Dróg Krajowych i Autostrad z 13 listopada 2008 r.)</w:t>
      </w:r>
    </w:p>
    <w:p w14:paraId="05E027A0" w14:textId="77777777" w:rsidR="007B538E" w:rsidRPr="008367BC" w:rsidRDefault="007B538E" w:rsidP="007B538E">
      <w:pPr>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after="120"/>
        <w:ind w:left="4956"/>
        <w:jc w:val="both"/>
        <w:rPr>
          <w:rFonts w:ascii="Arial" w:hAnsi="Arial" w:cs="Arial"/>
          <w:sz w:val="18"/>
          <w:szCs w:val="18"/>
        </w:rPr>
      </w:pPr>
    </w:p>
    <w:p w14:paraId="035CDC0D" w14:textId="77777777" w:rsidR="007B538E" w:rsidRPr="008367BC" w:rsidRDefault="007B538E" w:rsidP="007B538E">
      <w:pPr>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after="120"/>
        <w:ind w:left="4956"/>
        <w:jc w:val="both"/>
        <w:rPr>
          <w:rFonts w:ascii="Arial" w:hAnsi="Arial" w:cs="Arial"/>
          <w:sz w:val="18"/>
          <w:szCs w:val="18"/>
        </w:rPr>
      </w:pPr>
    </w:p>
    <w:p w14:paraId="1C7297AC" w14:textId="77777777" w:rsidR="007B538E" w:rsidRPr="008367BC" w:rsidRDefault="007B538E" w:rsidP="007B538E">
      <w:pPr>
        <w:tabs>
          <w:tab w:val="right" w:leader="dot" w:pos="3402"/>
          <w:tab w:val="left" w:pos="5670"/>
          <w:tab w:val="right" w:leader="dot" w:pos="9072"/>
        </w:tabs>
        <w:spacing w:after="120"/>
        <w:jc w:val="both"/>
        <w:rPr>
          <w:rFonts w:ascii="Arial" w:hAnsi="Arial" w:cs="Arial"/>
          <w:sz w:val="18"/>
          <w:szCs w:val="18"/>
        </w:rPr>
      </w:pPr>
      <w:r w:rsidRPr="008367BC">
        <w:rPr>
          <w:rFonts w:ascii="Arial" w:hAnsi="Arial" w:cs="Arial"/>
          <w:sz w:val="18"/>
          <w:szCs w:val="18"/>
        </w:rPr>
        <w:tab/>
      </w:r>
      <w:r w:rsidRPr="008367BC">
        <w:rPr>
          <w:rFonts w:ascii="Arial" w:hAnsi="Arial" w:cs="Arial"/>
          <w:sz w:val="18"/>
          <w:szCs w:val="18"/>
        </w:rPr>
        <w:tab/>
      </w:r>
      <w:r w:rsidRPr="008367BC">
        <w:rPr>
          <w:rFonts w:ascii="Arial" w:hAnsi="Arial" w:cs="Arial"/>
          <w:sz w:val="18"/>
          <w:szCs w:val="18"/>
        </w:rPr>
        <w:tab/>
      </w:r>
    </w:p>
    <w:p w14:paraId="733156C1" w14:textId="77777777" w:rsidR="007B538E" w:rsidRPr="008367BC" w:rsidRDefault="007B538E" w:rsidP="007B538E">
      <w:pPr>
        <w:tabs>
          <w:tab w:val="center" w:pos="1701"/>
          <w:tab w:val="center" w:pos="7371"/>
        </w:tabs>
        <w:spacing w:after="120"/>
        <w:jc w:val="both"/>
        <w:rPr>
          <w:rFonts w:ascii="Arial" w:hAnsi="Arial" w:cs="Arial"/>
          <w:i/>
          <w:sz w:val="18"/>
          <w:szCs w:val="18"/>
        </w:rPr>
      </w:pPr>
      <w:r w:rsidRPr="008367BC">
        <w:rPr>
          <w:rFonts w:ascii="Arial" w:hAnsi="Arial" w:cs="Arial"/>
          <w:i/>
          <w:sz w:val="18"/>
          <w:szCs w:val="18"/>
        </w:rPr>
        <w:tab/>
        <w:t>miejscowość, data</w:t>
      </w:r>
      <w:r w:rsidRPr="008367BC">
        <w:rPr>
          <w:rFonts w:ascii="Arial" w:hAnsi="Arial" w:cs="Arial"/>
          <w:i/>
          <w:sz w:val="18"/>
          <w:szCs w:val="18"/>
        </w:rPr>
        <w:tab/>
        <w:t>podpis Gwaranta</w:t>
      </w:r>
    </w:p>
    <w:p w14:paraId="46DA2FEF" w14:textId="77777777" w:rsidR="007B538E" w:rsidRPr="008367BC" w:rsidRDefault="007B538E" w:rsidP="007B538E">
      <w:pPr>
        <w:rPr>
          <w:rFonts w:ascii="Arial" w:eastAsia="Arial" w:hAnsi="Arial" w:cs="Arial"/>
          <w:sz w:val="18"/>
          <w:szCs w:val="18"/>
        </w:rPr>
      </w:pPr>
    </w:p>
    <w:p w14:paraId="2A532E28" w14:textId="77777777" w:rsidR="006D3EDF" w:rsidRPr="008367BC" w:rsidRDefault="006D3EDF">
      <w:pPr>
        <w:rPr>
          <w:sz w:val="18"/>
          <w:szCs w:val="18"/>
        </w:rPr>
      </w:pPr>
    </w:p>
    <w:sectPr w:rsidR="006D3EDF" w:rsidRPr="008367B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9D802" w14:textId="77777777" w:rsidR="00F54512" w:rsidRDefault="00F54512" w:rsidP="007B538E">
      <w:r>
        <w:separator/>
      </w:r>
    </w:p>
  </w:endnote>
  <w:endnote w:type="continuationSeparator" w:id="0">
    <w:p w14:paraId="2DAE8BDE" w14:textId="77777777" w:rsidR="00F54512" w:rsidRDefault="00F54512" w:rsidP="007B5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SymbolPS">
    <w:panose1 w:val="00000000000000000000"/>
    <w:charset w:val="02"/>
    <w:family w:val="roman"/>
    <w:notTrueType/>
    <w:pitch w:val="variable"/>
    <w:sig w:usb0="00000000" w:usb1="10000000" w:usb2="00000000" w:usb3="00000000" w:csb0="80000000" w:csb1="00000000"/>
  </w:font>
  <w:font w:name="Cambria Math">
    <w:panose1 w:val="02040503050406030204"/>
    <w:charset w:val="EE"/>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C2003" w14:textId="77777777" w:rsidR="00F54512" w:rsidRDefault="00F54512" w:rsidP="007B538E">
      <w:r>
        <w:separator/>
      </w:r>
    </w:p>
  </w:footnote>
  <w:footnote w:type="continuationSeparator" w:id="0">
    <w:p w14:paraId="1BEEAA60" w14:textId="77777777" w:rsidR="00F54512" w:rsidRDefault="00F54512" w:rsidP="007B538E">
      <w:r>
        <w:continuationSeparator/>
      </w:r>
    </w:p>
  </w:footnote>
  <w:footnote w:id="1">
    <w:p w14:paraId="2A2AAA2C" w14:textId="77777777" w:rsidR="007B538E" w:rsidRDefault="007B538E" w:rsidP="007B538E">
      <w:pPr>
        <w:pStyle w:val="Tekstprzypisudolnego"/>
        <w:jc w:val="both"/>
      </w:pPr>
      <w:r>
        <w:rPr>
          <w:rStyle w:val="Odwoanieprzypisudolnego"/>
        </w:rPr>
        <w:footnoteRef/>
      </w:r>
      <w:r>
        <w:t xml:space="preserve"> </w:t>
      </w:r>
      <w:r w:rsidRPr="00AA032B">
        <w:rPr>
          <w:w w:val="90"/>
          <w:sz w:val="18"/>
        </w:rPr>
        <w:t>miarodajny współczynnik tarcia Dm – różnica wartości średniej E(m) i odchylenia standardowego D:</w:t>
      </w:r>
      <w:r>
        <w:rPr>
          <w:w w:val="90"/>
          <w:sz w:val="18"/>
        </w:rPr>
        <w:t> </w:t>
      </w:r>
      <w:r w:rsidRPr="00AA032B">
        <w:rPr>
          <w:w w:val="90"/>
          <w:sz w:val="18"/>
        </w:rPr>
        <w:t>Dm</w:t>
      </w:r>
      <w:r>
        <w:rPr>
          <w:w w:val="90"/>
          <w:sz w:val="18"/>
        </w:rPr>
        <w:t> </w:t>
      </w:r>
      <w:r w:rsidRPr="00AA032B">
        <w:rPr>
          <w:w w:val="90"/>
          <w:sz w:val="18"/>
        </w:rPr>
        <w:t>=</w:t>
      </w:r>
      <w:r>
        <w:rPr>
          <w:w w:val="90"/>
          <w:sz w:val="18"/>
        </w:rPr>
        <w:t> </w:t>
      </w:r>
      <w:r w:rsidRPr="00AA032B">
        <w:rPr>
          <w:w w:val="90"/>
          <w:sz w:val="18"/>
        </w:rPr>
        <w:t>E(m) - D. Wyniki podaje się z dokładnością do dwóch miejsc po przecinku. Wartość miarodajnego współczynnik tarcia nie może być mniejsza od minimalnej wartości wyniku pomiaru na odcinku 50-cio metrowym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775AC"/>
    <w:multiLevelType w:val="hybridMultilevel"/>
    <w:tmpl w:val="149C159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 w15:restartNumberingAfterBreak="0">
    <w:nsid w:val="06FA56D5"/>
    <w:multiLevelType w:val="hybridMultilevel"/>
    <w:tmpl w:val="177E7E6E"/>
    <w:lvl w:ilvl="0" w:tplc="E0AA717C">
      <w:start w:val="1"/>
      <w:numFmt w:val="lowerLetter"/>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77E1D10"/>
    <w:multiLevelType w:val="hybridMultilevel"/>
    <w:tmpl w:val="75640DF4"/>
    <w:lvl w:ilvl="0" w:tplc="3BD0F714">
      <w:start w:val="1"/>
      <w:numFmt w:val="lowerLetter"/>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96D4AD2"/>
    <w:multiLevelType w:val="hybridMultilevel"/>
    <w:tmpl w:val="54885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05757A"/>
    <w:multiLevelType w:val="hybridMultilevel"/>
    <w:tmpl w:val="F85ED8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DB7AAB"/>
    <w:multiLevelType w:val="hybridMultilevel"/>
    <w:tmpl w:val="65A26F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CE903F2"/>
    <w:multiLevelType w:val="hybridMultilevel"/>
    <w:tmpl w:val="096E210C"/>
    <w:lvl w:ilvl="0" w:tplc="04150001">
      <w:start w:val="1"/>
      <w:numFmt w:val="bullet"/>
      <w:lvlText w:val=""/>
      <w:lvlJc w:val="left"/>
      <w:pPr>
        <w:ind w:left="1425" w:hanging="360"/>
      </w:pPr>
      <w:rPr>
        <w:rFonts w:ascii="Symbol" w:hAnsi="Symbol" w:hint="default"/>
      </w:rPr>
    </w:lvl>
    <w:lvl w:ilvl="1" w:tplc="04150003">
      <w:start w:val="1"/>
      <w:numFmt w:val="bullet"/>
      <w:lvlText w:val="o"/>
      <w:lvlJc w:val="left"/>
      <w:pPr>
        <w:ind w:left="2145" w:hanging="360"/>
      </w:pPr>
      <w:rPr>
        <w:rFonts w:ascii="Courier New" w:hAnsi="Courier New" w:cs="Courier New" w:hint="default"/>
      </w:rPr>
    </w:lvl>
    <w:lvl w:ilvl="2" w:tplc="04150005">
      <w:start w:val="1"/>
      <w:numFmt w:val="bullet"/>
      <w:lvlText w:val=""/>
      <w:lvlJc w:val="left"/>
      <w:pPr>
        <w:ind w:left="2865" w:hanging="360"/>
      </w:pPr>
      <w:rPr>
        <w:rFonts w:ascii="Wingdings" w:hAnsi="Wingdings" w:hint="default"/>
      </w:rPr>
    </w:lvl>
    <w:lvl w:ilvl="3" w:tplc="04150001">
      <w:start w:val="1"/>
      <w:numFmt w:val="bullet"/>
      <w:lvlText w:val=""/>
      <w:lvlJc w:val="left"/>
      <w:pPr>
        <w:ind w:left="3585" w:hanging="360"/>
      </w:pPr>
      <w:rPr>
        <w:rFonts w:ascii="Symbol" w:hAnsi="Symbol" w:hint="default"/>
      </w:rPr>
    </w:lvl>
    <w:lvl w:ilvl="4" w:tplc="04150003">
      <w:start w:val="1"/>
      <w:numFmt w:val="bullet"/>
      <w:lvlText w:val="o"/>
      <w:lvlJc w:val="left"/>
      <w:pPr>
        <w:ind w:left="4305" w:hanging="360"/>
      </w:pPr>
      <w:rPr>
        <w:rFonts w:ascii="Courier New" w:hAnsi="Courier New" w:cs="Courier New" w:hint="default"/>
      </w:rPr>
    </w:lvl>
    <w:lvl w:ilvl="5" w:tplc="04150005">
      <w:start w:val="1"/>
      <w:numFmt w:val="bullet"/>
      <w:lvlText w:val=""/>
      <w:lvlJc w:val="left"/>
      <w:pPr>
        <w:ind w:left="5025" w:hanging="360"/>
      </w:pPr>
      <w:rPr>
        <w:rFonts w:ascii="Wingdings" w:hAnsi="Wingdings" w:hint="default"/>
      </w:rPr>
    </w:lvl>
    <w:lvl w:ilvl="6" w:tplc="04150001">
      <w:start w:val="1"/>
      <w:numFmt w:val="bullet"/>
      <w:lvlText w:val=""/>
      <w:lvlJc w:val="left"/>
      <w:pPr>
        <w:ind w:left="5745" w:hanging="360"/>
      </w:pPr>
      <w:rPr>
        <w:rFonts w:ascii="Symbol" w:hAnsi="Symbol" w:hint="default"/>
      </w:rPr>
    </w:lvl>
    <w:lvl w:ilvl="7" w:tplc="04150003">
      <w:start w:val="1"/>
      <w:numFmt w:val="bullet"/>
      <w:lvlText w:val="o"/>
      <w:lvlJc w:val="left"/>
      <w:pPr>
        <w:ind w:left="6465" w:hanging="360"/>
      </w:pPr>
      <w:rPr>
        <w:rFonts w:ascii="Courier New" w:hAnsi="Courier New" w:cs="Courier New" w:hint="default"/>
      </w:rPr>
    </w:lvl>
    <w:lvl w:ilvl="8" w:tplc="04150005">
      <w:start w:val="1"/>
      <w:numFmt w:val="bullet"/>
      <w:lvlText w:val=""/>
      <w:lvlJc w:val="left"/>
      <w:pPr>
        <w:ind w:left="7185" w:hanging="360"/>
      </w:pPr>
      <w:rPr>
        <w:rFonts w:ascii="Wingdings" w:hAnsi="Wingdings" w:hint="default"/>
      </w:rPr>
    </w:lvl>
  </w:abstractNum>
  <w:abstractNum w:abstractNumId="7" w15:restartNumberingAfterBreak="0">
    <w:nsid w:val="0DC97FAA"/>
    <w:multiLevelType w:val="hybridMultilevel"/>
    <w:tmpl w:val="F790FDE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0E2C7313"/>
    <w:multiLevelType w:val="hybridMultilevel"/>
    <w:tmpl w:val="EA0A0B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30B4672"/>
    <w:multiLevelType w:val="hybridMultilevel"/>
    <w:tmpl w:val="EA0671AC"/>
    <w:lvl w:ilvl="0" w:tplc="04150001">
      <w:start w:val="1"/>
      <w:numFmt w:val="bullet"/>
      <w:lvlText w:val=""/>
      <w:lvlJc w:val="left"/>
      <w:pPr>
        <w:ind w:left="1572" w:hanging="360"/>
      </w:pPr>
      <w:rPr>
        <w:rFonts w:ascii="Symbol" w:hAnsi="Symbol" w:hint="default"/>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10" w15:restartNumberingAfterBreak="0">
    <w:nsid w:val="189A12E7"/>
    <w:multiLevelType w:val="hybridMultilevel"/>
    <w:tmpl w:val="C71E499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198067C3"/>
    <w:multiLevelType w:val="hybridMultilevel"/>
    <w:tmpl w:val="E056D92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1D8A756C"/>
    <w:multiLevelType w:val="hybridMultilevel"/>
    <w:tmpl w:val="11344C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FC3454C"/>
    <w:multiLevelType w:val="hybridMultilevel"/>
    <w:tmpl w:val="553EBDB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23855410"/>
    <w:multiLevelType w:val="hybridMultilevel"/>
    <w:tmpl w:val="82FA53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A675FF6"/>
    <w:multiLevelType w:val="hybridMultilevel"/>
    <w:tmpl w:val="6B2859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4DC1B20"/>
    <w:multiLevelType w:val="hybridMultilevel"/>
    <w:tmpl w:val="BCB640B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34E275F1"/>
    <w:multiLevelType w:val="multilevel"/>
    <w:tmpl w:val="3B5CA668"/>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AAA451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D3853B5"/>
    <w:multiLevelType w:val="hybridMultilevel"/>
    <w:tmpl w:val="0E623EBE"/>
    <w:lvl w:ilvl="0" w:tplc="3BD0F714">
      <w:start w:val="1"/>
      <w:numFmt w:val="lowerLetter"/>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1F81378"/>
    <w:multiLevelType w:val="hybridMultilevel"/>
    <w:tmpl w:val="152EE3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42310A31"/>
    <w:multiLevelType w:val="hybridMultilevel"/>
    <w:tmpl w:val="16D8B846"/>
    <w:lvl w:ilvl="0" w:tplc="AC2EFE94">
      <w:start w:val="1"/>
      <w:numFmt w:val="lowerLetter"/>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D0E609A"/>
    <w:multiLevelType w:val="hybridMultilevel"/>
    <w:tmpl w:val="8710F47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4DFD2B36"/>
    <w:multiLevelType w:val="multilevel"/>
    <w:tmpl w:val="D0420B5C"/>
    <w:lvl w:ilvl="0">
      <w:start w:val="3"/>
      <w:numFmt w:val="decimal"/>
      <w:lvlText w:val="%1."/>
      <w:lvlJc w:val="left"/>
      <w:pPr>
        <w:ind w:left="480" w:hanging="480"/>
      </w:pPr>
      <w:rPr>
        <w:rFonts w:hint="default"/>
      </w:rPr>
    </w:lvl>
    <w:lvl w:ilvl="1">
      <w:start w:val="1"/>
      <w:numFmt w:val="decimal"/>
      <w:lvlText w:val="%1.%2."/>
      <w:lvlJc w:val="left"/>
      <w:pPr>
        <w:ind w:left="791" w:hanging="720"/>
      </w:pPr>
      <w:rPr>
        <w:rFonts w:hint="default"/>
        <w:b/>
      </w:rPr>
    </w:lvl>
    <w:lvl w:ilvl="2">
      <w:start w:val="1"/>
      <w:numFmt w:val="decimal"/>
      <w:lvlText w:val="%1.%2.%3."/>
      <w:lvlJc w:val="left"/>
      <w:pPr>
        <w:ind w:left="1222" w:hanging="1080"/>
      </w:pPr>
      <w:rPr>
        <w:rFonts w:hint="default"/>
      </w:rPr>
    </w:lvl>
    <w:lvl w:ilvl="3">
      <w:start w:val="1"/>
      <w:numFmt w:val="decimal"/>
      <w:lvlText w:val="%1.%2.%3.%4."/>
      <w:lvlJc w:val="left"/>
      <w:pPr>
        <w:ind w:left="1653" w:hanging="1440"/>
      </w:pPr>
      <w:rPr>
        <w:rFonts w:hint="default"/>
      </w:rPr>
    </w:lvl>
    <w:lvl w:ilvl="4">
      <w:start w:val="1"/>
      <w:numFmt w:val="decimal"/>
      <w:lvlText w:val="%1.%2.%3.%4.%5."/>
      <w:lvlJc w:val="left"/>
      <w:pPr>
        <w:ind w:left="1724" w:hanging="1440"/>
      </w:pPr>
      <w:rPr>
        <w:rFonts w:hint="default"/>
      </w:rPr>
    </w:lvl>
    <w:lvl w:ilvl="5">
      <w:start w:val="1"/>
      <w:numFmt w:val="decimal"/>
      <w:lvlText w:val="%1.%2.%3.%4.%5.%6."/>
      <w:lvlJc w:val="left"/>
      <w:pPr>
        <w:ind w:left="2155" w:hanging="1800"/>
      </w:pPr>
      <w:rPr>
        <w:rFonts w:hint="default"/>
      </w:rPr>
    </w:lvl>
    <w:lvl w:ilvl="6">
      <w:start w:val="1"/>
      <w:numFmt w:val="decimal"/>
      <w:lvlText w:val="%1.%2.%3.%4.%5.%6.%7."/>
      <w:lvlJc w:val="left"/>
      <w:pPr>
        <w:ind w:left="2586" w:hanging="2160"/>
      </w:pPr>
      <w:rPr>
        <w:rFonts w:hint="default"/>
      </w:rPr>
    </w:lvl>
    <w:lvl w:ilvl="7">
      <w:start w:val="1"/>
      <w:numFmt w:val="decimal"/>
      <w:lvlText w:val="%1.%2.%3.%4.%5.%6.%7.%8."/>
      <w:lvlJc w:val="left"/>
      <w:pPr>
        <w:ind w:left="3017" w:hanging="2520"/>
      </w:pPr>
      <w:rPr>
        <w:rFonts w:hint="default"/>
      </w:rPr>
    </w:lvl>
    <w:lvl w:ilvl="8">
      <w:start w:val="1"/>
      <w:numFmt w:val="decimal"/>
      <w:lvlText w:val="%1.%2.%3.%4.%5.%6.%7.%8.%9."/>
      <w:lvlJc w:val="left"/>
      <w:pPr>
        <w:ind w:left="3088" w:hanging="2520"/>
      </w:pPr>
      <w:rPr>
        <w:rFonts w:hint="default"/>
      </w:rPr>
    </w:lvl>
  </w:abstractNum>
  <w:abstractNum w:abstractNumId="24" w15:restartNumberingAfterBreak="0">
    <w:nsid w:val="51A43C93"/>
    <w:multiLevelType w:val="hybridMultilevel"/>
    <w:tmpl w:val="10888512"/>
    <w:lvl w:ilvl="0" w:tplc="3BD0F714">
      <w:start w:val="1"/>
      <w:numFmt w:val="lowerLetter"/>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33C7079"/>
    <w:multiLevelType w:val="hybridMultilevel"/>
    <w:tmpl w:val="3EA218C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15:restartNumberingAfterBreak="0">
    <w:nsid w:val="54866635"/>
    <w:multiLevelType w:val="multilevel"/>
    <w:tmpl w:val="2AEE63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lang w:val="pl-PL"/>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55F97DBC"/>
    <w:multiLevelType w:val="hybridMultilevel"/>
    <w:tmpl w:val="F52081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633774AF"/>
    <w:multiLevelType w:val="hybridMultilevel"/>
    <w:tmpl w:val="455C46B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64073DA3"/>
    <w:multiLevelType w:val="hybridMultilevel"/>
    <w:tmpl w:val="3BC691D0"/>
    <w:lvl w:ilvl="0" w:tplc="0DEC8A40">
      <w:start w:val="1"/>
      <w:numFmt w:val="lowerLetter"/>
      <w:lvlText w:val="%1)"/>
      <w:lvlJc w:val="left"/>
      <w:pPr>
        <w:ind w:left="1095" w:hanging="7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7AD2B16"/>
    <w:multiLevelType w:val="hybridMultilevel"/>
    <w:tmpl w:val="ABFA0A22"/>
    <w:lvl w:ilvl="0" w:tplc="04150001">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31" w15:restartNumberingAfterBreak="0">
    <w:nsid w:val="6A424279"/>
    <w:multiLevelType w:val="hybridMultilevel"/>
    <w:tmpl w:val="841CC0B2"/>
    <w:lvl w:ilvl="0" w:tplc="F68E6998">
      <w:start w:val="1"/>
      <w:numFmt w:val="lowerLetter"/>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C6A0051"/>
    <w:multiLevelType w:val="hybridMultilevel"/>
    <w:tmpl w:val="88FCA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D494F92"/>
    <w:multiLevelType w:val="hybridMultilevel"/>
    <w:tmpl w:val="C26C20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6ED0694D"/>
    <w:multiLevelType w:val="hybridMultilevel"/>
    <w:tmpl w:val="0E565D74"/>
    <w:lvl w:ilvl="0" w:tplc="042EC6F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86228FE"/>
    <w:multiLevelType w:val="hybridMultilevel"/>
    <w:tmpl w:val="9D1A859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6" w15:restartNumberingAfterBreak="0">
    <w:nsid w:val="79632DDE"/>
    <w:multiLevelType w:val="hybridMultilevel"/>
    <w:tmpl w:val="7346E21C"/>
    <w:lvl w:ilvl="0" w:tplc="3BD0F714">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A86346C"/>
    <w:multiLevelType w:val="hybridMultilevel"/>
    <w:tmpl w:val="AA86400A"/>
    <w:lvl w:ilvl="0" w:tplc="80A24306">
      <w:start w:val="1"/>
      <w:numFmt w:val="lowerLetter"/>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8"/>
  </w:num>
  <w:num w:numId="2">
    <w:abstractNumId w:val="3"/>
  </w:num>
  <w:num w:numId="3">
    <w:abstractNumId w:val="15"/>
  </w:num>
  <w:num w:numId="4">
    <w:abstractNumId w:val="26"/>
  </w:num>
  <w:num w:numId="5">
    <w:abstractNumId w:val="32"/>
  </w:num>
  <w:num w:numId="6">
    <w:abstractNumId w:val="29"/>
  </w:num>
  <w:num w:numId="7">
    <w:abstractNumId w:val="12"/>
  </w:num>
  <w:num w:numId="8">
    <w:abstractNumId w:val="8"/>
  </w:num>
  <w:num w:numId="9">
    <w:abstractNumId w:val="36"/>
  </w:num>
  <w:num w:numId="10">
    <w:abstractNumId w:val="0"/>
  </w:num>
  <w:num w:numId="11">
    <w:abstractNumId w:val="9"/>
  </w:num>
  <w:num w:numId="12">
    <w:abstractNumId w:val="4"/>
  </w:num>
  <w:num w:numId="13">
    <w:abstractNumId w:val="5"/>
  </w:num>
  <w:num w:numId="14">
    <w:abstractNumId w:val="34"/>
  </w:num>
  <w:num w:numId="15">
    <w:abstractNumId w:val="23"/>
  </w:num>
  <w:num w:numId="16">
    <w:abstractNumId w:val="30"/>
  </w:num>
  <w:num w:numId="17">
    <w:abstractNumId w:val="35"/>
  </w:num>
  <w:num w:numId="18">
    <w:abstractNumId w:val="25"/>
  </w:num>
  <w:num w:numId="19">
    <w:abstractNumId w:val="17"/>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1"/>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33"/>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22"/>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20"/>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E35"/>
    <w:rsid w:val="001D2E35"/>
    <w:rsid w:val="0049784E"/>
    <w:rsid w:val="006D3EDF"/>
    <w:rsid w:val="007B538E"/>
    <w:rsid w:val="008367BC"/>
    <w:rsid w:val="009960E8"/>
    <w:rsid w:val="009C7DFA"/>
    <w:rsid w:val="00EB45B0"/>
    <w:rsid w:val="00F545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B852FB-85C8-46D4-A467-856A33586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B538E"/>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7B538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7B538E"/>
    <w:rPr>
      <w:rFonts w:asciiTheme="majorHAnsi" w:eastAsiaTheme="majorEastAsia" w:hAnsiTheme="majorHAnsi" w:cstheme="majorBidi"/>
      <w:color w:val="2F5496" w:themeColor="accent1" w:themeShade="BF"/>
      <w:sz w:val="26"/>
      <w:szCs w:val="26"/>
      <w:lang w:eastAsia="pl-PL"/>
    </w:rPr>
  </w:style>
  <w:style w:type="paragraph" w:styleId="Tekstpodstawowy">
    <w:name w:val="Body Text"/>
    <w:basedOn w:val="Normalny"/>
    <w:link w:val="TekstpodstawowyZnak"/>
    <w:uiPriority w:val="1"/>
    <w:qFormat/>
    <w:rsid w:val="007B538E"/>
    <w:pPr>
      <w:widowControl w:val="0"/>
      <w:ind w:left="102"/>
    </w:pPr>
    <w:rPr>
      <w:rFonts w:ascii="Verdana" w:eastAsia="Verdana" w:hAnsi="Verdana" w:cstheme="minorBidi"/>
      <w:sz w:val="18"/>
      <w:szCs w:val="18"/>
      <w:lang w:val="en-US" w:eastAsia="en-US"/>
    </w:rPr>
  </w:style>
  <w:style w:type="character" w:customStyle="1" w:styleId="TekstpodstawowyZnak">
    <w:name w:val="Tekst podstawowy Znak"/>
    <w:basedOn w:val="Domylnaczcionkaakapitu"/>
    <w:link w:val="Tekstpodstawowy"/>
    <w:uiPriority w:val="1"/>
    <w:rsid w:val="007B538E"/>
    <w:rPr>
      <w:rFonts w:ascii="Verdana" w:eastAsia="Verdana" w:hAnsi="Verdana"/>
      <w:sz w:val="18"/>
      <w:szCs w:val="18"/>
      <w:lang w:val="en-US"/>
    </w:rPr>
  </w:style>
  <w:style w:type="paragraph" w:styleId="Akapitzlist">
    <w:name w:val="List Paragraph"/>
    <w:basedOn w:val="Normalny"/>
    <w:uiPriority w:val="1"/>
    <w:qFormat/>
    <w:rsid w:val="007B538E"/>
    <w:pPr>
      <w:widowControl w:val="0"/>
    </w:pPr>
    <w:rPr>
      <w:rFonts w:asciiTheme="minorHAnsi" w:eastAsiaTheme="minorHAnsi" w:hAnsiTheme="minorHAnsi" w:cstheme="minorBidi"/>
      <w:sz w:val="22"/>
      <w:szCs w:val="22"/>
      <w:lang w:val="en-US" w:eastAsia="en-US"/>
    </w:rPr>
  </w:style>
  <w:style w:type="table" w:styleId="Tabela-Siatka">
    <w:name w:val="Table Grid"/>
    <w:basedOn w:val="Standardowy"/>
    <w:uiPriority w:val="59"/>
    <w:rsid w:val="007B538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7B538E"/>
    <w:rPr>
      <w:rFonts w:ascii="Verdana" w:eastAsia="Calibri" w:hAnsi="Verdana" w:cs="Arial"/>
      <w:sz w:val="20"/>
      <w:szCs w:val="20"/>
    </w:rPr>
  </w:style>
  <w:style w:type="character" w:customStyle="1" w:styleId="TekstprzypisudolnegoZnak">
    <w:name w:val="Tekst przypisu dolnego Znak"/>
    <w:basedOn w:val="Domylnaczcionkaakapitu"/>
    <w:link w:val="Tekstprzypisudolnego"/>
    <w:uiPriority w:val="99"/>
    <w:semiHidden/>
    <w:rsid w:val="007B538E"/>
    <w:rPr>
      <w:rFonts w:ascii="Verdana" w:eastAsia="Calibri" w:hAnsi="Verdana" w:cs="Arial"/>
      <w:sz w:val="20"/>
      <w:szCs w:val="20"/>
      <w:lang w:eastAsia="pl-PL"/>
    </w:rPr>
  </w:style>
  <w:style w:type="character" w:styleId="Odwoanieprzypisudolnego">
    <w:name w:val="footnote reference"/>
    <w:basedOn w:val="Domylnaczcionkaakapitu"/>
    <w:uiPriority w:val="99"/>
    <w:semiHidden/>
    <w:unhideWhenUsed/>
    <w:rsid w:val="007B53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6282</Words>
  <Characters>37698</Characters>
  <Application>Microsoft Office Word</Application>
  <DocSecurity>0</DocSecurity>
  <Lines>314</Lines>
  <Paragraphs>87</Paragraphs>
  <ScaleCrop>false</ScaleCrop>
  <Company/>
  <LinksUpToDate>false</LinksUpToDate>
  <CharactersWithSpaces>43893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Kamińska-Borak</dc:creator>
  <cp:keywords/>
  <dc:description/>
  <cp:lastModifiedBy>Jolanta Kamińska-Borak</cp:lastModifiedBy>
  <cp:revision>4</cp:revision>
  <dcterms:created xsi:type="dcterms:W3CDTF">2018-06-17T16:27:00Z</dcterms:created>
  <dcterms:modified xsi:type="dcterms:W3CDTF">2018-07-11T10:39:00Z</dcterms:modified>
</cp:coreProperties>
</file>