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A1" w:rsidRPr="00861267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:rsidR="00574CA1" w:rsidRPr="00861267" w:rsidRDefault="00574CA1" w:rsidP="00574CA1">
      <w:pPr>
        <w:rPr>
          <w:szCs w:val="24"/>
        </w:rPr>
      </w:pPr>
    </w:p>
    <w:p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postępowaniu nr </w:t>
      </w:r>
      <w:r w:rsidR="0042278D" w:rsidRPr="0042278D">
        <w:rPr>
          <w:szCs w:val="24"/>
        </w:rPr>
        <w:t>WIM.271.1.11.2018</w:t>
      </w:r>
    </w:p>
    <w:p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:rsidR="0042278D" w:rsidRDefault="0042278D" w:rsidP="0042278D">
      <w:pPr>
        <w:pStyle w:val="Nagwek"/>
        <w:jc w:val="center"/>
        <w:rPr>
          <w:szCs w:val="24"/>
        </w:rPr>
      </w:pP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 xml:space="preserve"> „Przebudowa dróg powiatowych i gminnych w Świnoujściu – etap II - przebudowa ulic: Szmaragdowej, Toruńskiej, Trentowskiego, Kasprowicza, Roosevelta </w:t>
      </w:r>
      <w:r w:rsidR="001C0612">
        <w:rPr>
          <w:szCs w:val="24"/>
        </w:rPr>
        <w:t xml:space="preserve">oraz </w:t>
      </w:r>
      <w:r w:rsidR="001A7374">
        <w:rPr>
          <w:szCs w:val="24"/>
        </w:rPr>
        <w:t xml:space="preserve">przebudowa </w:t>
      </w:r>
      <w:r w:rsidR="001C0612">
        <w:rPr>
          <w:szCs w:val="24"/>
        </w:rPr>
        <w:t>wjazd</w:t>
      </w:r>
      <w:r w:rsidR="001A7374">
        <w:rPr>
          <w:szCs w:val="24"/>
        </w:rPr>
        <w:t>u</w:t>
      </w:r>
      <w:r w:rsidR="001C0612">
        <w:rPr>
          <w:szCs w:val="24"/>
        </w:rPr>
        <w:t xml:space="preserve"> z ulicy</w:t>
      </w:r>
      <w:r w:rsidRPr="0042278D">
        <w:rPr>
          <w:szCs w:val="24"/>
        </w:rPr>
        <w:t xml:space="preserve"> Wojska Polskiego </w:t>
      </w:r>
      <w:r w:rsidR="001C0612">
        <w:rPr>
          <w:szCs w:val="24"/>
        </w:rPr>
        <w:t xml:space="preserve">do Urzędu Miasta </w:t>
      </w:r>
      <w:r w:rsidRPr="0042278D">
        <w:rPr>
          <w:szCs w:val="24"/>
        </w:rPr>
        <w:t>w</w:t>
      </w:r>
      <w:r>
        <w:rPr>
          <w:szCs w:val="24"/>
        </w:rPr>
        <w:t> </w:t>
      </w:r>
      <w:r w:rsidRPr="0042278D">
        <w:rPr>
          <w:szCs w:val="24"/>
        </w:rPr>
        <w:t>Świnoujściu”</w:t>
      </w:r>
    </w:p>
    <w:p w:rsidR="0042278D" w:rsidRPr="0042278D" w:rsidRDefault="0042278D" w:rsidP="0042278D">
      <w:pPr>
        <w:pStyle w:val="Nagwek"/>
        <w:jc w:val="right"/>
        <w:rPr>
          <w:szCs w:val="24"/>
        </w:rPr>
      </w:pP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 – Przebudowa ulicy Szmaragdowej w Świnoujściu</w:t>
      </w: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II – Przebudowa ulicy Toruńskiej w Świnoujściu</w:t>
      </w: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III – Przebudowa ulicy Trentowskiego w Świnoujściu</w:t>
      </w: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IV – Przebudowa ulicy Kasprowicza w Świnoujściu</w:t>
      </w: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V – Przebudowa ulicy Roosevelta w Świnoujściu</w:t>
      </w:r>
    </w:p>
    <w:p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 xml:space="preserve">Część VI – Przebudowa </w:t>
      </w:r>
      <w:r w:rsidR="004C4B35">
        <w:rPr>
          <w:szCs w:val="24"/>
        </w:rPr>
        <w:t xml:space="preserve">wjazdu z </w:t>
      </w:r>
      <w:r w:rsidRPr="0042278D">
        <w:rPr>
          <w:szCs w:val="24"/>
        </w:rPr>
        <w:t xml:space="preserve">ulicy Wojska Polskiego </w:t>
      </w:r>
      <w:r w:rsidR="004C4B35">
        <w:rPr>
          <w:szCs w:val="24"/>
        </w:rPr>
        <w:t xml:space="preserve">do Urzędu Miasta </w:t>
      </w:r>
      <w:r w:rsidRPr="0042278D">
        <w:rPr>
          <w:szCs w:val="24"/>
        </w:rPr>
        <w:t>w Świnoujściu</w:t>
      </w:r>
    </w:p>
    <w:p w:rsidR="001B3D96" w:rsidRPr="00861267" w:rsidRDefault="001B3D96" w:rsidP="001B3D96">
      <w:pPr>
        <w:spacing w:before="0" w:after="0"/>
        <w:jc w:val="center"/>
        <w:rPr>
          <w:spacing w:val="-4"/>
          <w:szCs w:val="24"/>
          <w:lang w:eastAsia="ar-SA"/>
        </w:rPr>
      </w:pPr>
    </w:p>
    <w:p w:rsidR="00CD77FF" w:rsidRPr="0042278D" w:rsidRDefault="00CD77FF" w:rsidP="0042278D">
      <w:pPr>
        <w:autoSpaceDE w:val="0"/>
        <w:autoSpaceDN w:val="0"/>
        <w:adjustRightInd w:val="0"/>
        <w:rPr>
          <w:szCs w:val="24"/>
        </w:rPr>
      </w:pPr>
    </w:p>
    <w:p w:rsidR="001B3D96" w:rsidRPr="00861267" w:rsidRDefault="002D6B3F" w:rsidP="00FA7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>Ulica</w:t>
      </w:r>
      <w:r w:rsidR="00CD77FF" w:rsidRPr="00861267">
        <w:rPr>
          <w:b/>
          <w:szCs w:val="24"/>
        </w:rPr>
        <w:t xml:space="preserve"> </w:t>
      </w:r>
      <w:r w:rsidR="00A24D51">
        <w:rPr>
          <w:b/>
          <w:szCs w:val="24"/>
        </w:rPr>
        <w:t>Szmaragdowa</w:t>
      </w:r>
      <w:r w:rsidR="001B3D96" w:rsidRPr="00861267">
        <w:rPr>
          <w:b/>
          <w:szCs w:val="24"/>
        </w:rPr>
        <w:t xml:space="preserve"> w Świnoujściu</w:t>
      </w:r>
    </w:p>
    <w:p w:rsidR="00CD77FF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drogowa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:rsidR="00A24D51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sanitarna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:rsidR="00A24D51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Oświetlenie uliczne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:rsidR="00A24D51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Kolizje ENEA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A24D51">
        <w:rPr>
          <w:szCs w:val="24"/>
        </w:rPr>
        <w:t>Pro - Trans Consulting, ul. Wiejska 9, 73-110 Stargard</w:t>
      </w:r>
    </w:p>
    <w:p w:rsidR="00A24D51" w:rsidRDefault="00A24D51" w:rsidP="00A24D51">
      <w:pPr>
        <w:spacing w:before="0" w:after="0"/>
        <w:rPr>
          <w:szCs w:val="24"/>
        </w:rPr>
      </w:pPr>
    </w:p>
    <w:p w:rsidR="00A24D51" w:rsidRPr="00A24D51" w:rsidRDefault="00FA718C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A24D51" w:rsidRPr="00A24D51" w:rsidRDefault="00A24D51" w:rsidP="00A24D51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>Opracowanie: Pracowania Projektowa INSTALATOR mgr inż. Dorota Stasik, ul. Robotnicza 19, 73-110 Stargard</w:t>
      </w:r>
    </w:p>
    <w:p w:rsidR="00A24D51" w:rsidRPr="00A24D51" w:rsidRDefault="00A24D51" w:rsidP="00A24D51">
      <w:pPr>
        <w:pStyle w:val="Akapitzlist"/>
        <w:spacing w:before="0" w:after="0"/>
        <w:ind w:left="0"/>
        <w:rPr>
          <w:szCs w:val="24"/>
        </w:rPr>
      </w:pPr>
    </w:p>
    <w:p w:rsidR="00A24D51" w:rsidRPr="00A24D51" w:rsidRDefault="00A24D51" w:rsidP="00A24D51">
      <w:pPr>
        <w:autoSpaceDE w:val="0"/>
        <w:autoSpaceDN w:val="0"/>
        <w:adjustRightInd w:val="0"/>
        <w:spacing w:before="0" w:after="0"/>
        <w:ind w:left="1074"/>
        <w:rPr>
          <w:szCs w:val="24"/>
        </w:rPr>
      </w:pPr>
    </w:p>
    <w:p w:rsidR="00FA718C" w:rsidRPr="00861267" w:rsidRDefault="00FA718C" w:rsidP="00FA7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Toruńska</w:t>
      </w:r>
      <w:r w:rsidRPr="00861267">
        <w:rPr>
          <w:b/>
          <w:szCs w:val="24"/>
        </w:rPr>
        <w:t xml:space="preserve"> w Świnoujściu</w:t>
      </w:r>
    </w:p>
    <w:p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Kolizje ENEA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Default="00FA718C" w:rsidP="00FA718C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:rsidR="00FA718C" w:rsidRDefault="00FA718C" w:rsidP="00FA718C">
      <w:pPr>
        <w:spacing w:before="0" w:after="0"/>
        <w:rPr>
          <w:szCs w:val="24"/>
        </w:rPr>
      </w:pPr>
    </w:p>
    <w:p w:rsidR="00FA718C" w:rsidRPr="00A24D51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>Opracowanie: Pracowania Projektowa INSTALATOR mgr inż. Dorota Stasik, ul. Robotnicza 19, 73-110 Stargard</w:t>
      </w:r>
    </w:p>
    <w:p w:rsidR="00FA718C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EA3BBB" w:rsidRDefault="00EA3BBB" w:rsidP="00FA718C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FA718C" w:rsidRPr="00861267" w:rsidRDefault="00FA718C" w:rsidP="00FA7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Trentowskiego</w:t>
      </w:r>
      <w:r w:rsidRPr="00861267">
        <w:rPr>
          <w:b/>
          <w:szCs w:val="24"/>
        </w:rPr>
        <w:t xml:space="preserve"> w Świnoujściu</w:t>
      </w:r>
    </w:p>
    <w:p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Default="00FA718C" w:rsidP="00FA718C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:rsidR="00FA718C" w:rsidRDefault="00FA718C" w:rsidP="00FA718C">
      <w:pPr>
        <w:spacing w:before="0" w:after="0"/>
        <w:rPr>
          <w:szCs w:val="24"/>
        </w:rPr>
      </w:pPr>
    </w:p>
    <w:p w:rsidR="00FA718C" w:rsidRPr="00A24D51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FA718C" w:rsidRPr="00A24D51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 w:rsidR="00EA3BBB">
        <w:rPr>
          <w:szCs w:val="24"/>
        </w:rPr>
        <w:t xml:space="preserve">mgr inż. Grzegorz </w:t>
      </w:r>
      <w:proofErr w:type="spellStart"/>
      <w:r w:rsidR="00EA3BBB">
        <w:rPr>
          <w:szCs w:val="24"/>
        </w:rPr>
        <w:t>Lesner</w:t>
      </w:r>
      <w:proofErr w:type="spellEnd"/>
    </w:p>
    <w:p w:rsidR="00FA718C" w:rsidRPr="00A24D51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EA3BBB" w:rsidRPr="00A24D51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Ścieżka rowerowa i chodnik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EA3BBB" w:rsidRPr="00A24D51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JOTBE Jacek Błaszczyk, ul. Krasickiego 7, 63-220 Kotlin</w:t>
      </w:r>
    </w:p>
    <w:p w:rsidR="00EB6516" w:rsidRDefault="00EB6516" w:rsidP="00CD77FF">
      <w:pPr>
        <w:spacing w:before="0" w:after="0"/>
        <w:rPr>
          <w:szCs w:val="24"/>
        </w:rPr>
      </w:pPr>
    </w:p>
    <w:p w:rsidR="00EA3BBB" w:rsidRDefault="00EA3BBB" w:rsidP="00CD77FF">
      <w:pPr>
        <w:spacing w:before="0" w:after="0"/>
        <w:rPr>
          <w:szCs w:val="24"/>
        </w:rPr>
      </w:pPr>
    </w:p>
    <w:p w:rsidR="00EA3BBB" w:rsidRPr="00861267" w:rsidRDefault="00EA3BBB" w:rsidP="00EA3B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861267">
        <w:rPr>
          <w:b/>
          <w:szCs w:val="24"/>
        </w:rPr>
        <w:t xml:space="preserve"> w Świnoujściu</w:t>
      </w:r>
    </w:p>
    <w:p w:rsidR="00EA3BBB" w:rsidRPr="00861267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EA3BBB" w:rsidRPr="00861267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EA3BBB" w:rsidRPr="00861267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EA3BBB" w:rsidRDefault="00EA3BBB" w:rsidP="00EA3BBB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:rsidR="00EA3BBB" w:rsidRDefault="00EA3BBB" w:rsidP="00EA3BBB">
      <w:pPr>
        <w:spacing w:before="0" w:after="0"/>
        <w:rPr>
          <w:szCs w:val="24"/>
        </w:rPr>
      </w:pPr>
    </w:p>
    <w:p w:rsidR="00EA3BBB" w:rsidRPr="00A24D51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z przyłączami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na odcinek od ul. Nowowiejskiego do ul. Gierczak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EA3BBB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Biuro Projektowe Czesław Nowakowski, ul. Konstytucji 3-go Maja 8a/4, Świnoujście</w:t>
      </w:r>
    </w:p>
    <w:p w:rsidR="00EA3BBB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EA3BBB" w:rsidRPr="00A24D51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</w:t>
      </w:r>
      <w:r w:rsidR="00607983">
        <w:rPr>
          <w:szCs w:val="24"/>
        </w:rPr>
        <w:t>i kanalizacja sanitarna</w:t>
      </w:r>
      <w:r w:rsidRPr="00FA718C">
        <w:rPr>
          <w:szCs w:val="24"/>
        </w:rPr>
        <w:t xml:space="preserve"> </w:t>
      </w:r>
      <w:r>
        <w:rPr>
          <w:szCs w:val="24"/>
        </w:rPr>
        <w:t>na odc</w:t>
      </w:r>
      <w:r w:rsidR="00607983">
        <w:rPr>
          <w:szCs w:val="24"/>
        </w:rPr>
        <w:t>inku</w:t>
      </w:r>
      <w:r>
        <w:rPr>
          <w:szCs w:val="24"/>
        </w:rPr>
        <w:t xml:space="preserve"> od ul.</w:t>
      </w:r>
      <w:r w:rsidR="00607983">
        <w:rPr>
          <w:szCs w:val="24"/>
        </w:rPr>
        <w:t> Gierczak</w:t>
      </w:r>
      <w:r>
        <w:rPr>
          <w:szCs w:val="24"/>
        </w:rPr>
        <w:t xml:space="preserve"> do ul. </w:t>
      </w:r>
      <w:r w:rsidR="00607983">
        <w:rPr>
          <w:szCs w:val="24"/>
        </w:rPr>
        <w:t>Energetyków</w:t>
      </w:r>
      <w:r>
        <w:rPr>
          <w:szCs w:val="24"/>
        </w:rPr>
        <w:t xml:space="preserve"> (</w:t>
      </w:r>
      <w:r w:rsidR="00607983">
        <w:rPr>
          <w:szCs w:val="24"/>
        </w:rPr>
        <w:t>opis techniczny, mapa)</w:t>
      </w:r>
    </w:p>
    <w:p w:rsidR="00EA3BBB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 w:rsidR="00607983">
        <w:rPr>
          <w:szCs w:val="24"/>
        </w:rPr>
        <w:t>ABRYS Technika Sp. z o.o., ul. Wiślana 46, 60-401 Poznań</w:t>
      </w:r>
    </w:p>
    <w:p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607983" w:rsidRPr="00A24D51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renowacja kanalizacji sanitarnej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Nowowiejskiego (opis techniczny, mapa)</w:t>
      </w:r>
    </w:p>
    <w:p w:rsidR="00607983" w:rsidRPr="00A24D51" w:rsidRDefault="00607983" w:rsidP="00607983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Małgorzata Szalewicz, ul. Swarożyca 15A/9, 71-601 Szczecin</w:t>
      </w:r>
    </w:p>
    <w:p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607983" w:rsidRPr="00861267" w:rsidRDefault="00607983" w:rsidP="0060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Roosevelta</w:t>
      </w:r>
      <w:r w:rsidRPr="00861267">
        <w:rPr>
          <w:b/>
          <w:szCs w:val="24"/>
        </w:rPr>
        <w:t xml:space="preserve"> w Świnoujściu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Kolizje ENEA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:rsidR="00607983" w:rsidRDefault="00607983" w:rsidP="00607983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607983" w:rsidRPr="00861267" w:rsidRDefault="007F5CBA" w:rsidP="0060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>
        <w:rPr>
          <w:b/>
          <w:szCs w:val="24"/>
        </w:rPr>
        <w:t>Przebudowa w</w:t>
      </w:r>
      <w:r w:rsidR="00EA6218">
        <w:rPr>
          <w:b/>
          <w:szCs w:val="24"/>
        </w:rPr>
        <w:t>jazd</w:t>
      </w:r>
      <w:r w:rsidR="00F45091">
        <w:rPr>
          <w:b/>
          <w:szCs w:val="24"/>
        </w:rPr>
        <w:t>u</w:t>
      </w:r>
      <w:bookmarkStart w:id="0" w:name="_GoBack"/>
      <w:bookmarkEnd w:id="0"/>
      <w:r w:rsidR="00EA6218">
        <w:rPr>
          <w:b/>
          <w:szCs w:val="24"/>
        </w:rPr>
        <w:t xml:space="preserve"> z u</w:t>
      </w:r>
      <w:r w:rsidR="00607983" w:rsidRPr="00861267">
        <w:rPr>
          <w:b/>
          <w:szCs w:val="24"/>
        </w:rPr>
        <w:t>lic</w:t>
      </w:r>
      <w:r w:rsidR="00EA6218">
        <w:rPr>
          <w:b/>
          <w:szCs w:val="24"/>
        </w:rPr>
        <w:t>y</w:t>
      </w:r>
      <w:r w:rsidR="00607983" w:rsidRPr="00861267">
        <w:rPr>
          <w:b/>
          <w:szCs w:val="24"/>
        </w:rPr>
        <w:t xml:space="preserve"> </w:t>
      </w:r>
      <w:r w:rsidR="00607983">
        <w:rPr>
          <w:b/>
          <w:szCs w:val="24"/>
        </w:rPr>
        <w:t>Wojska Polskiego</w:t>
      </w:r>
      <w:r w:rsidR="00607983" w:rsidRPr="00861267">
        <w:rPr>
          <w:b/>
          <w:szCs w:val="24"/>
        </w:rPr>
        <w:t xml:space="preserve"> </w:t>
      </w:r>
      <w:r w:rsidR="00EA6218">
        <w:rPr>
          <w:b/>
          <w:szCs w:val="24"/>
        </w:rPr>
        <w:t xml:space="preserve">do Urzędu Miasta </w:t>
      </w:r>
      <w:r w:rsidR="00607983" w:rsidRPr="00861267">
        <w:rPr>
          <w:b/>
          <w:szCs w:val="24"/>
        </w:rPr>
        <w:t>w Świnoujściu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drogowa (dokumentacja techniczna)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sanitarna - gaz (dokumentacja techniczna)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elektryczna (dokumentacja techniczna)</w:t>
      </w:r>
    </w:p>
    <w:p w:rsidR="00607983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Projekt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- kanalizacyjny (dokumentacja techniczna)</w:t>
      </w:r>
    </w:p>
    <w:p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Projekt organizacji ruchu (dokumentacja techniczna)</w:t>
      </w:r>
    </w:p>
    <w:p w:rsidR="00607983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Inwentaryzacja zieleni</w:t>
      </w:r>
    </w:p>
    <w:p w:rsidR="00303B4D" w:rsidRPr="00607983" w:rsidRDefault="00303B4D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</w:p>
    <w:p w:rsidR="00A24D51" w:rsidRPr="00861267" w:rsidRDefault="00A24D51" w:rsidP="00A24D51">
      <w:pPr>
        <w:spacing w:before="0" w:after="0"/>
        <w:rPr>
          <w:szCs w:val="24"/>
        </w:rPr>
      </w:pPr>
      <w:r w:rsidRPr="00861267">
        <w:rPr>
          <w:szCs w:val="24"/>
        </w:rPr>
        <w:t>Opracowanie: Pracownia Projektowa mgr inż. Robert Mituta, Specjalność Drogowa: Projektowanie – Nadzór, ul. Frezjowa 47, 72-003 Dobra</w:t>
      </w:r>
    </w:p>
    <w:p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4D" w:rsidRDefault="00303B4D" w:rsidP="00E5206D">
      <w:pPr>
        <w:spacing w:before="0" w:after="0"/>
      </w:pPr>
      <w:r>
        <w:separator/>
      </w:r>
    </w:p>
  </w:endnote>
  <w:endnote w:type="continuationSeparator" w:id="0">
    <w:p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4D" w:rsidRPr="00F1775F" w:rsidRDefault="00303B4D" w:rsidP="0039745C">
    <w:pPr>
      <w:pStyle w:val="Nagwek"/>
      <w:jc w:val="right"/>
    </w:pPr>
    <w:r w:rsidRPr="00861267">
      <w:rPr>
        <w:b/>
        <w:szCs w:val="24"/>
      </w:rPr>
      <w:t xml:space="preserve">Załącznik nr 2.3 do SIWZ </w:t>
    </w:r>
    <w:r w:rsidRPr="0042278D">
      <w:rPr>
        <w:b/>
        <w:szCs w:val="24"/>
      </w:rPr>
      <w:t>nr WIM.271.1.11.2018</w:t>
    </w:r>
  </w:p>
  <w:p w:rsidR="00303B4D" w:rsidRPr="00861267" w:rsidRDefault="00303B4D" w:rsidP="00D531DC">
    <w:pPr>
      <w:pStyle w:val="Nagwek"/>
      <w:jc w:val="right"/>
      <w:rPr>
        <w:b/>
        <w:szCs w:val="24"/>
      </w:rPr>
    </w:pPr>
  </w:p>
  <w:p w:rsidR="00303B4D" w:rsidRPr="00861267" w:rsidRDefault="00303B4D" w:rsidP="00D531DC">
    <w:pPr>
      <w:pStyle w:val="Nagwek"/>
      <w:jc w:val="right"/>
      <w:rPr>
        <w:b/>
        <w:szCs w:val="24"/>
      </w:rPr>
    </w:pPr>
    <w:r w:rsidRPr="00861267">
      <w:rPr>
        <w:b/>
        <w:szCs w:val="24"/>
      </w:rPr>
      <w:t>Załącznik nr 3 do umowy nr WIM</w:t>
    </w:r>
    <w:proofErr w:type="gramStart"/>
    <w:r w:rsidRPr="00861267">
      <w:rPr>
        <w:b/>
        <w:szCs w:val="24"/>
      </w:rPr>
      <w:t>/….</w:t>
    </w:r>
    <w:proofErr w:type="gramEnd"/>
    <w:r w:rsidRPr="00861267">
      <w:rPr>
        <w:b/>
        <w:szCs w:val="24"/>
      </w:rPr>
      <w:t>/2018</w:t>
    </w:r>
  </w:p>
  <w:p w:rsidR="00303B4D" w:rsidRPr="00861267" w:rsidRDefault="00303B4D" w:rsidP="00D531DC">
    <w:pPr>
      <w:pStyle w:val="Nagwek"/>
      <w:jc w:val="right"/>
      <w:rPr>
        <w:b/>
        <w:szCs w:val="24"/>
      </w:rPr>
    </w:pPr>
    <w:r w:rsidRPr="00861267">
      <w:rPr>
        <w:b/>
        <w:szCs w:val="24"/>
      </w:rPr>
      <w:t>Z dnia ……………</w:t>
    </w:r>
    <w:proofErr w:type="gramStart"/>
    <w:r w:rsidRPr="00861267">
      <w:rPr>
        <w:b/>
        <w:szCs w:val="24"/>
      </w:rPr>
      <w:t>…….</w:t>
    </w:r>
    <w:proofErr w:type="gramEnd"/>
    <w:r w:rsidRPr="00861267">
      <w:rPr>
        <w:b/>
        <w:szCs w:val="24"/>
      </w:rPr>
      <w:t xml:space="preserve">. </w:t>
    </w:r>
  </w:p>
  <w:p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5590EB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A7374"/>
    <w:rsid w:val="001B3D96"/>
    <w:rsid w:val="001C0612"/>
    <w:rsid w:val="001E0322"/>
    <w:rsid w:val="00282ADC"/>
    <w:rsid w:val="002835C9"/>
    <w:rsid w:val="002D6B3F"/>
    <w:rsid w:val="002D7DF9"/>
    <w:rsid w:val="002E5708"/>
    <w:rsid w:val="00303B4D"/>
    <w:rsid w:val="00330C13"/>
    <w:rsid w:val="0039377B"/>
    <w:rsid w:val="00394F71"/>
    <w:rsid w:val="0039745C"/>
    <w:rsid w:val="003B6373"/>
    <w:rsid w:val="003D4747"/>
    <w:rsid w:val="003E28B2"/>
    <w:rsid w:val="0042278D"/>
    <w:rsid w:val="004806B6"/>
    <w:rsid w:val="00497CD0"/>
    <w:rsid w:val="004A1F12"/>
    <w:rsid w:val="004A4948"/>
    <w:rsid w:val="004C4B35"/>
    <w:rsid w:val="004C7727"/>
    <w:rsid w:val="0052721A"/>
    <w:rsid w:val="00574CA1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E585C"/>
    <w:rsid w:val="00933B0C"/>
    <w:rsid w:val="0098068D"/>
    <w:rsid w:val="00980871"/>
    <w:rsid w:val="00981E88"/>
    <w:rsid w:val="009A138A"/>
    <w:rsid w:val="009B7CD4"/>
    <w:rsid w:val="00A01151"/>
    <w:rsid w:val="00A24D51"/>
    <w:rsid w:val="00B1390B"/>
    <w:rsid w:val="00B27785"/>
    <w:rsid w:val="00B92FF2"/>
    <w:rsid w:val="00B9391B"/>
    <w:rsid w:val="00BD50BF"/>
    <w:rsid w:val="00C347E2"/>
    <w:rsid w:val="00C52B99"/>
    <w:rsid w:val="00C93AEC"/>
    <w:rsid w:val="00CD77FF"/>
    <w:rsid w:val="00CE1B69"/>
    <w:rsid w:val="00CF049C"/>
    <w:rsid w:val="00D06957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6A3113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51EA-E1D6-4F02-869F-C65BDF5D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9</cp:revision>
  <cp:lastPrinted>2017-07-14T14:12:00Z</cp:lastPrinted>
  <dcterms:created xsi:type="dcterms:W3CDTF">2018-03-12T08:29:00Z</dcterms:created>
  <dcterms:modified xsi:type="dcterms:W3CDTF">2018-04-05T05:24:00Z</dcterms:modified>
</cp:coreProperties>
</file>