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C7" w:rsidRDefault="00C768C7">
      <w:bookmarkStart w:id="0" w:name="_GoBack"/>
      <w:bookmarkEnd w:id="0"/>
    </w:p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C2C2F" w:rsidRPr="004C2C2F" w:rsidRDefault="004C2C2F" w:rsidP="004C2C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FC4F51" w:rsidRPr="00FC4F51" w:rsidRDefault="00D92311" w:rsidP="00FC4F51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C4F22">
        <w:rPr>
          <w:rFonts w:ascii="Times New Roman" w:hAnsi="Times New Roman" w:cs="Times New Roman"/>
          <w:spacing w:val="-4"/>
          <w:sz w:val="24"/>
          <w:szCs w:val="24"/>
        </w:rPr>
        <w:t xml:space="preserve">„Przebudowa chodników i jezdni w drogach </w:t>
      </w:r>
      <w:r w:rsidR="000E615E">
        <w:rPr>
          <w:rFonts w:ascii="Times New Roman" w:hAnsi="Times New Roman" w:cs="Times New Roman"/>
          <w:spacing w:val="-4"/>
          <w:sz w:val="24"/>
          <w:szCs w:val="24"/>
        </w:rPr>
        <w:t xml:space="preserve">powiatowych - budowa ciągu pieszo-rowerowego w ul. Sąsiedzkiej w </w:t>
      </w:r>
      <w:r w:rsidRPr="00BC4F22">
        <w:rPr>
          <w:rFonts w:ascii="Times New Roman" w:hAnsi="Times New Roman" w:cs="Times New Roman"/>
          <w:spacing w:val="-4"/>
          <w:sz w:val="24"/>
          <w:szCs w:val="24"/>
        </w:rPr>
        <w:t>Świnoujściu”</w:t>
      </w:r>
      <w:r w:rsidRPr="00BC4F22">
        <w:rPr>
          <w:rFonts w:ascii="Times New Roman" w:hAnsi="Times New Roman" w:cs="Times New Roman"/>
          <w:spacing w:val="-4"/>
          <w:sz w:val="24"/>
        </w:rPr>
        <w:t>.</w:t>
      </w:r>
    </w:p>
    <w:p w:rsidR="004C2C2F" w:rsidRDefault="004C2C2F" w:rsidP="00781F3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0040" w:rsidRDefault="005A0040" w:rsidP="00781F39">
      <w:pPr>
        <w:pStyle w:val="Akapitzlist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budowlany TOM I,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Projekt zagospodarowania Terenu – Etap 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II,</w:t>
      </w:r>
    </w:p>
    <w:p w:rsidR="005A0040" w:rsidRDefault="005A0040" w:rsidP="00781F39">
      <w:pPr>
        <w:pStyle w:val="Akapitzlist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budowlany TOM II,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Projekt architektoniczno-budowlany</w:t>
      </w:r>
      <w:r w:rsidR="002F78B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branża drogowa – Etap 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II</w:t>
      </w:r>
      <w:r w:rsidR="007D351C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2F78B7" w:rsidRPr="002F78B7" w:rsidRDefault="002F78B7" w:rsidP="00781F39">
      <w:pPr>
        <w:pStyle w:val="Akapitzlist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C2548" w:rsidRDefault="005A0040" w:rsidP="00781F39">
      <w:pPr>
        <w:pStyle w:val="Akapitzlist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budowlany TOM III,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Projekt architektoniczno-budowlany</w:t>
      </w:r>
      <w:r w:rsidR="007D35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branża elektryczna – usunięcie kolizji sieci kablowej</w:t>
      </w:r>
      <w:r w:rsidR="002F78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Etap II</w:t>
      </w:r>
      <w:r w:rsidR="00E563A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7D351C" w:rsidRDefault="007D351C" w:rsidP="00781F39">
      <w:pPr>
        <w:pStyle w:val="Akapitzlist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budowlany TOM IV,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Projekt architektoniczno-budowlany, branża elektryczna – oświetlenie uliczne – Etap 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II,</w:t>
      </w:r>
    </w:p>
    <w:p w:rsidR="007D351C" w:rsidRDefault="007D351C" w:rsidP="00781F39">
      <w:pPr>
        <w:pStyle w:val="Akapitzlist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budowlany TOM V,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Projekt architektoniczno-budowlany, branża instalacyjna – Etap II,</w:t>
      </w:r>
    </w:p>
    <w:p w:rsidR="005A0040" w:rsidRDefault="005A0040" w:rsidP="008447AF">
      <w:pPr>
        <w:pStyle w:val="Akapitzlist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budowlany TOM VI,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Projekt architektoniczno-budowlany - Etap II, branża </w:t>
      </w:r>
      <w:r w:rsidR="002F78B7">
        <w:rPr>
          <w:rFonts w:ascii="Times New Roman" w:eastAsia="Times New Roman" w:hAnsi="Times New Roman" w:cs="Times New Roman"/>
          <w:sz w:val="24"/>
          <w:szCs w:val="20"/>
          <w:lang w:eastAsia="pl-PL"/>
        </w:rPr>
        <w:t>telekomunikacyjna – Etap II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7D351C" w:rsidRDefault="007D351C" w:rsidP="00781F39">
      <w:pPr>
        <w:pStyle w:val="Akapitzlist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Informacja dotycząca bezpieczeństwa i ochrony zdrowia,</w:t>
      </w:r>
    </w:p>
    <w:p w:rsidR="002F78B7" w:rsidRPr="007D351C" w:rsidRDefault="007D351C" w:rsidP="00781F39">
      <w:pPr>
        <w:pStyle w:val="Akapitzlist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D351C">
        <w:rPr>
          <w:rFonts w:ascii="Times New Roman" w:eastAsia="Times New Roman" w:hAnsi="Times New Roman" w:cs="Times New Roman"/>
          <w:sz w:val="24"/>
          <w:szCs w:val="20"/>
          <w:lang w:eastAsia="pl-PL"/>
        </w:rPr>
        <w:t>Opinia Geotechniczna warunków gruntowo wodnych na terenie projektowanego ciągu pieszo-rowerowego w Świnoujściu-Przytór</w:t>
      </w:r>
      <w:r w:rsidR="002F78B7" w:rsidRPr="007D35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branża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drogowa Etap II.</w:t>
      </w:r>
    </w:p>
    <w:p w:rsidR="002F78B7" w:rsidRDefault="002F78B7" w:rsidP="00781F39">
      <w:pPr>
        <w:pStyle w:val="Akapitzlist"/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C2548" w:rsidRDefault="00781F39" w:rsidP="002F78B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WYKONAWCZE</w:t>
      </w:r>
    </w:p>
    <w:p w:rsidR="00781F39" w:rsidRDefault="00781F39" w:rsidP="00781F39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Branża drogowa – Etap II,</w:t>
      </w:r>
    </w:p>
    <w:p w:rsidR="00781F39" w:rsidRDefault="00781F39" w:rsidP="00781F39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Branża elektryczna – usunięcie kolizji sieci kablowej  -Etap II,</w:t>
      </w:r>
    </w:p>
    <w:p w:rsidR="00781F39" w:rsidRDefault="00781F39" w:rsidP="00781F39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Branża elektryczna – oświetlenie uliczne – Etap II</w:t>
      </w:r>
    </w:p>
    <w:p w:rsidR="00781F39" w:rsidRDefault="00781F39" w:rsidP="00781F39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Branża instalacyjna – Etap II,</w:t>
      </w:r>
    </w:p>
    <w:p w:rsidR="00781F39" w:rsidRDefault="00781F39" w:rsidP="00781F39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Branża Telekomunikacyjna – Etap II,</w:t>
      </w:r>
    </w:p>
    <w:p w:rsidR="00781F39" w:rsidRDefault="00781F39" w:rsidP="00781F39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stałej organizacji ruchu – Etap II,</w:t>
      </w:r>
    </w:p>
    <w:p w:rsidR="00781F39" w:rsidRDefault="00781F39" w:rsidP="00781F39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geotechniczna,</w:t>
      </w:r>
    </w:p>
    <w:p w:rsidR="00781F39" w:rsidRPr="00781F39" w:rsidRDefault="00781F39" w:rsidP="00781F39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specyfikacje techniczne Etap II,</w:t>
      </w:r>
    </w:p>
    <w:p w:rsidR="004C2C2F" w:rsidRDefault="004C2C2F"/>
    <w:sectPr w:rsidR="004C2C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 w:rsidRPr="00FA600C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>3</w:t>
    </w:r>
    <w:r w:rsidRPr="00FA600C">
      <w:rPr>
        <w:rFonts w:ascii="Times New Roman" w:hAnsi="Times New Roman" w:cs="Times New Roman"/>
        <w:b/>
        <w:sz w:val="20"/>
        <w:szCs w:val="20"/>
      </w:rPr>
      <w:t xml:space="preserve"> do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E0311A">
      <w:rPr>
        <w:rFonts w:ascii="Times New Roman" w:hAnsi="Times New Roman" w:cs="Times New Roman"/>
        <w:b/>
        <w:sz w:val="20"/>
        <w:szCs w:val="20"/>
      </w:rPr>
      <w:t>u</w:t>
    </w:r>
    <w:r>
      <w:rPr>
        <w:rFonts w:ascii="Times New Roman" w:hAnsi="Times New Roman" w:cs="Times New Roman"/>
        <w:b/>
        <w:sz w:val="20"/>
        <w:szCs w:val="20"/>
      </w:rPr>
      <w:t>mowy nr WIM/……../2016</w:t>
    </w:r>
  </w:p>
  <w:p w:rsidR="00FA600C" w:rsidRP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 dnia 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534FC"/>
    <w:rsid w:val="000E615E"/>
    <w:rsid w:val="002F78B7"/>
    <w:rsid w:val="004C2C2F"/>
    <w:rsid w:val="005A0040"/>
    <w:rsid w:val="00723B78"/>
    <w:rsid w:val="00775794"/>
    <w:rsid w:val="00777051"/>
    <w:rsid w:val="00781F39"/>
    <w:rsid w:val="007D351C"/>
    <w:rsid w:val="008447AF"/>
    <w:rsid w:val="00A5612A"/>
    <w:rsid w:val="00C768C7"/>
    <w:rsid w:val="00C8474C"/>
    <w:rsid w:val="00D92311"/>
    <w:rsid w:val="00DC2548"/>
    <w:rsid w:val="00E0311A"/>
    <w:rsid w:val="00E3740A"/>
    <w:rsid w:val="00E563AE"/>
    <w:rsid w:val="00F708D8"/>
    <w:rsid w:val="00FA600C"/>
    <w:rsid w:val="00F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19</cp:revision>
  <dcterms:created xsi:type="dcterms:W3CDTF">2015-09-04T11:57:00Z</dcterms:created>
  <dcterms:modified xsi:type="dcterms:W3CDTF">2016-06-09T09:02:00Z</dcterms:modified>
</cp:coreProperties>
</file>