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D" w:rsidRDefault="00D133DD" w:rsidP="00327090">
      <w:pPr>
        <w:shd w:val="clear" w:color="auto" w:fill="FFFFFF" w:themeFill="background1"/>
        <w:jc w:val="both"/>
      </w:pPr>
    </w:p>
    <w:p w:rsidR="00D133DD" w:rsidRPr="00D133DD" w:rsidRDefault="00D133DD" w:rsidP="00327090">
      <w:pPr>
        <w:shd w:val="clear" w:color="auto" w:fill="FFFFFF" w:themeFill="background1"/>
        <w:jc w:val="center"/>
        <w:rPr>
          <w:b/>
          <w:sz w:val="26"/>
        </w:rPr>
      </w:pPr>
      <w:r w:rsidRPr="00D133DD">
        <w:rPr>
          <w:b/>
          <w:sz w:val="26"/>
        </w:rPr>
        <w:t>Opis Przedmiotu Zamówienia</w:t>
      </w:r>
    </w:p>
    <w:p w:rsidR="00D133DD" w:rsidRDefault="00D133DD" w:rsidP="00327090">
      <w:pPr>
        <w:shd w:val="clear" w:color="auto" w:fill="FFFFFF" w:themeFill="background1"/>
        <w:jc w:val="center"/>
        <w:rPr>
          <w:sz w:val="26"/>
        </w:rPr>
      </w:pPr>
    </w:p>
    <w:p w:rsidR="00D133DD" w:rsidRDefault="00D133DD" w:rsidP="00327090">
      <w:pPr>
        <w:pStyle w:val="Tekstpodstawowy"/>
        <w:shd w:val="clear" w:color="auto" w:fill="FFFFFF" w:themeFill="background1"/>
        <w:jc w:val="both"/>
      </w:pPr>
      <w:r w:rsidRPr="003E2019">
        <w:t xml:space="preserve">Opracowanie </w:t>
      </w:r>
      <w:r w:rsidR="00783347" w:rsidRPr="003E2019">
        <w:t>dokumentacji projektowej</w:t>
      </w:r>
      <w:r w:rsidR="002223BC" w:rsidRPr="003E2019">
        <w:t xml:space="preserve"> </w:t>
      </w:r>
      <w:r w:rsidRPr="003E2019">
        <w:t>dla zadania</w:t>
      </w:r>
      <w:r w:rsidR="00687A21" w:rsidRPr="003E2019">
        <w:t>:</w:t>
      </w:r>
      <w:r w:rsidRPr="003E2019">
        <w:t xml:space="preserve"> „</w:t>
      </w:r>
      <w:r w:rsidR="003E2019" w:rsidRPr="003E2019">
        <w:t>Budowa infrastruktury związanej z modernizacją węzła przesiadkowego kolejowo – p</w:t>
      </w:r>
      <w:r w:rsidR="003E2019">
        <w:t>romowo – autobusowego w Świnoujś</w:t>
      </w:r>
      <w:r w:rsidR="003E2019" w:rsidRPr="003E2019">
        <w:t>ciu</w:t>
      </w:r>
      <w:r w:rsidR="00687A21" w:rsidRPr="003E2019">
        <w:t>”.</w:t>
      </w:r>
    </w:p>
    <w:p w:rsidR="00FA5C87" w:rsidRPr="003E2019" w:rsidRDefault="00FA5C87" w:rsidP="00327090">
      <w:pPr>
        <w:pStyle w:val="Tekstpodstawowy"/>
        <w:shd w:val="clear" w:color="auto" w:fill="FFFFFF" w:themeFill="background1"/>
        <w:jc w:val="both"/>
      </w:pPr>
    </w:p>
    <w:p w:rsidR="005627B1" w:rsidRDefault="005627B1" w:rsidP="003E2019">
      <w:pPr>
        <w:pStyle w:val="Tekstpodstawowy2"/>
        <w:shd w:val="clear" w:color="auto" w:fill="FFFFFF" w:themeFill="background1"/>
        <w:tabs>
          <w:tab w:val="left" w:pos="2400"/>
        </w:tabs>
      </w:pPr>
      <w:r>
        <w:t>Przewidywany obszar (przyciemniony), który może zostać objęty opracowaniem koncepcji służącej do opracowania dokumentacji projektowej dla w/w zadania:</w:t>
      </w:r>
    </w:p>
    <w:p w:rsidR="00FA5C87" w:rsidRDefault="003E2019" w:rsidP="003E2019">
      <w:pPr>
        <w:pStyle w:val="Tekstpodstawowy2"/>
        <w:shd w:val="clear" w:color="auto" w:fill="FFFFFF" w:themeFill="background1"/>
        <w:tabs>
          <w:tab w:val="left" w:pos="2400"/>
        </w:tabs>
      </w:pPr>
      <w:r>
        <w:tab/>
      </w:r>
    </w:p>
    <w:p w:rsidR="00A612C1" w:rsidRDefault="00FA5C87" w:rsidP="009321F9">
      <w:pPr>
        <w:pStyle w:val="Tekstpodstawowy2"/>
        <w:shd w:val="clear" w:color="auto" w:fill="FFFFFF" w:themeFill="background1"/>
        <w:tabs>
          <w:tab w:val="left" w:pos="2400"/>
        </w:tabs>
        <w:jc w:val="center"/>
      </w:pPr>
      <w:r w:rsidRPr="00FA5C87">
        <w:rPr>
          <w:noProof/>
        </w:rPr>
        <w:drawing>
          <wp:inline distT="0" distB="0" distL="0" distR="0">
            <wp:extent cx="5759450" cy="3726815"/>
            <wp:effectExtent l="19050" t="0" r="0" b="0"/>
            <wp:docPr id="12" name="Obraz 9" descr="WP_ogo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ogol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7B1" w:rsidRDefault="005627B1" w:rsidP="003E2019">
      <w:pPr>
        <w:pStyle w:val="Tekstpodstawowy2"/>
        <w:shd w:val="clear" w:color="auto" w:fill="FFFFFF" w:themeFill="background1"/>
        <w:tabs>
          <w:tab w:val="left" w:pos="2400"/>
        </w:tabs>
      </w:pPr>
    </w:p>
    <w:p w:rsidR="00DD763C" w:rsidRPr="00A736C8" w:rsidRDefault="001E7592" w:rsidP="001E7592">
      <w:pPr>
        <w:pStyle w:val="Tekstpodstawowy2"/>
        <w:numPr>
          <w:ilvl w:val="0"/>
          <w:numId w:val="14"/>
        </w:numPr>
        <w:shd w:val="clear" w:color="auto" w:fill="FFFFFF" w:themeFill="background1"/>
        <w:ind w:left="567" w:hanging="567"/>
        <w:rPr>
          <w:b/>
        </w:rPr>
      </w:pPr>
      <w:r w:rsidRPr="00A736C8">
        <w:rPr>
          <w:b/>
        </w:rPr>
        <w:t>Wprowadzenie.</w:t>
      </w:r>
    </w:p>
    <w:p w:rsidR="001E7592" w:rsidRPr="00A736C8" w:rsidRDefault="001E7592" w:rsidP="001E7592">
      <w:pPr>
        <w:pStyle w:val="Tekstpodstawowy2"/>
        <w:shd w:val="clear" w:color="auto" w:fill="FFFFFF" w:themeFill="background1"/>
        <w:ind w:left="567" w:hanging="567"/>
      </w:pPr>
      <w:r w:rsidRPr="00A736C8">
        <w:t>1.1</w:t>
      </w:r>
      <w:r w:rsidRPr="00A736C8">
        <w:tab/>
        <w:t>Cel projektu.</w:t>
      </w:r>
    </w:p>
    <w:p w:rsidR="00FA5C87" w:rsidRDefault="003E2019" w:rsidP="00A736C8">
      <w:pPr>
        <w:autoSpaceDE w:val="0"/>
        <w:autoSpaceDN w:val="0"/>
        <w:adjustRightInd w:val="0"/>
        <w:spacing w:before="40" w:after="40" w:line="300" w:lineRule="exact"/>
        <w:jc w:val="both"/>
      </w:pPr>
      <w:r w:rsidRPr="003E2019">
        <w:t>Celem pr</w:t>
      </w:r>
      <w:r>
        <w:t xml:space="preserve">ojektu jest stworzenie i modernizacja infrastruktury związanej z </w:t>
      </w:r>
      <w:r w:rsidR="004239AA">
        <w:t xml:space="preserve">zapewnieniem wygodnej i </w:t>
      </w:r>
      <w:r w:rsidR="004239AA" w:rsidRPr="001E2D43">
        <w:t>komfortowe</w:t>
      </w:r>
      <w:r w:rsidR="004239AA">
        <w:t>j zmiany środka transportu, która docelowo ułatwi</w:t>
      </w:r>
      <w:r>
        <w:t xml:space="preserve"> </w:t>
      </w:r>
      <w:r w:rsidRPr="003E2019">
        <w:t xml:space="preserve">wdrożenie zrównoważonej mobilności miejskiej wyrażającej się zwiększeniem liczby osób rezygnujących z indywidualnego transportu </w:t>
      </w:r>
      <w:r w:rsidR="004239AA">
        <w:t xml:space="preserve">samochodowego </w:t>
      </w:r>
      <w:r w:rsidRPr="003E2019">
        <w:t>na</w:t>
      </w:r>
      <w:r w:rsidR="004239AA">
        <w:t xml:space="preserve"> rzecz </w:t>
      </w:r>
      <w:r w:rsidRPr="003E2019">
        <w:t>transport</w:t>
      </w:r>
      <w:r w:rsidR="004239AA">
        <w:t>u niskoemisyjnego tj. zbiorowego l</w:t>
      </w:r>
      <w:r w:rsidRPr="003E2019">
        <w:t>ub transport</w:t>
      </w:r>
      <w:r w:rsidR="004239AA">
        <w:t>u</w:t>
      </w:r>
      <w:r w:rsidRPr="003E2019">
        <w:t xml:space="preserve"> </w:t>
      </w:r>
      <w:r w:rsidR="004239AA">
        <w:t>rowerowego</w:t>
      </w:r>
      <w:r w:rsidRPr="003E2019">
        <w:t xml:space="preserve">. Doprowadzenie do takiej zmiany modelu zachowań transportowych w konsekwencji ograniczy emisję CO2. </w:t>
      </w:r>
    </w:p>
    <w:p w:rsidR="007005C9" w:rsidRPr="00910550" w:rsidRDefault="007005C9" w:rsidP="000044BF">
      <w:pPr>
        <w:pStyle w:val="Akapitzlist"/>
        <w:numPr>
          <w:ilvl w:val="1"/>
          <w:numId w:val="18"/>
        </w:numPr>
        <w:spacing w:before="120"/>
        <w:ind w:left="567" w:hanging="567"/>
        <w:jc w:val="both"/>
      </w:pPr>
      <w:r w:rsidRPr="00910550">
        <w:t>Zakres projektu</w:t>
      </w:r>
      <w:r w:rsidR="00E66874" w:rsidRPr="00910550">
        <w:t>.</w:t>
      </w:r>
    </w:p>
    <w:p w:rsidR="00E22E4A" w:rsidRDefault="00E22E4A" w:rsidP="00702CBC">
      <w:pPr>
        <w:autoSpaceDE w:val="0"/>
        <w:autoSpaceDN w:val="0"/>
        <w:adjustRightInd w:val="0"/>
        <w:spacing w:before="40" w:after="40" w:line="300" w:lineRule="exact"/>
        <w:jc w:val="both"/>
      </w:pPr>
      <w:r>
        <w:t>Zakres p</w:t>
      </w:r>
      <w:r w:rsidRPr="00E22E4A">
        <w:t>rojekt</w:t>
      </w:r>
      <w:r>
        <w:t>u</w:t>
      </w:r>
      <w:r w:rsidRPr="00E22E4A">
        <w:t xml:space="preserve"> </w:t>
      </w:r>
      <w:r>
        <w:t>obejmuje:</w:t>
      </w:r>
    </w:p>
    <w:p w:rsidR="00E22E4A" w:rsidRDefault="00643F95" w:rsidP="00E22E4A">
      <w:pPr>
        <w:autoSpaceDE w:val="0"/>
        <w:autoSpaceDN w:val="0"/>
        <w:adjustRightInd w:val="0"/>
        <w:spacing w:before="40" w:after="40" w:line="300" w:lineRule="exact"/>
        <w:ind w:left="284" w:hanging="284"/>
        <w:jc w:val="both"/>
      </w:pPr>
      <w:r>
        <w:t>a)</w:t>
      </w:r>
      <w:r w:rsidR="00E22E4A">
        <w:tab/>
      </w:r>
      <w:r w:rsidR="00E22E4A" w:rsidRPr="00E22E4A">
        <w:t>budowę parkingu łączącego cechy parkingu P&amp;R (Park &amp; Ride) oraz B&amp;R (Bike &amp;  Ride)</w:t>
      </w:r>
      <w:r w:rsidR="00E22E4A">
        <w:t xml:space="preserve">, który </w:t>
      </w:r>
      <w:r w:rsidR="00E22E4A" w:rsidRPr="00E22E4A">
        <w:t>ma umożliwić pozostawienie samochodu w rejonie węzła przesiadkowego (dworca) kolejowo</w:t>
      </w:r>
      <w:r>
        <w:t xml:space="preserve"> – </w:t>
      </w:r>
      <w:r w:rsidR="00E22E4A" w:rsidRPr="00E22E4A">
        <w:t>promowo</w:t>
      </w:r>
      <w:r>
        <w:t xml:space="preserve"> </w:t>
      </w:r>
      <w:r w:rsidR="00E22E4A" w:rsidRPr="00E22E4A">
        <w:t>-</w:t>
      </w:r>
      <w:r>
        <w:t xml:space="preserve"> </w:t>
      </w:r>
      <w:r w:rsidR="00E22E4A" w:rsidRPr="00E22E4A">
        <w:t>autobusowego i skorzystanie z innych środków transportu takich jak komunikacja kolejowa, autobusowa i promowa, a także rowerowa</w:t>
      </w:r>
      <w:r w:rsidR="00E22E4A">
        <w:t>,</w:t>
      </w:r>
    </w:p>
    <w:p w:rsidR="00643F95" w:rsidRDefault="00643F95" w:rsidP="00E22E4A">
      <w:pPr>
        <w:autoSpaceDE w:val="0"/>
        <w:autoSpaceDN w:val="0"/>
        <w:adjustRightInd w:val="0"/>
        <w:spacing w:before="40" w:after="40" w:line="300" w:lineRule="exact"/>
        <w:ind w:left="284" w:hanging="284"/>
        <w:jc w:val="both"/>
      </w:pPr>
      <w:r>
        <w:lastRenderedPageBreak/>
        <w:t>b)</w:t>
      </w:r>
      <w:r w:rsidR="00E22E4A">
        <w:tab/>
        <w:t>przebudowę (</w:t>
      </w:r>
      <w:r w:rsidR="00E22E4A" w:rsidRPr="00E22E4A">
        <w:t>moderniz</w:t>
      </w:r>
      <w:r>
        <w:t>ację) zatok postojowych zlokalizowanych w</w:t>
      </w:r>
      <w:r w:rsidR="00E22E4A" w:rsidRPr="00E22E4A">
        <w:t xml:space="preserve"> rejonie ul.</w:t>
      </w:r>
      <w:r>
        <w:t xml:space="preserve"> </w:t>
      </w:r>
      <w:r w:rsidR="00E22E4A" w:rsidRPr="00E22E4A">
        <w:t>Dworcowej</w:t>
      </w:r>
      <w:r>
        <w:t xml:space="preserve"> oraz </w:t>
      </w:r>
      <w:r w:rsidRPr="00E335BD">
        <w:t xml:space="preserve">ul. </w:t>
      </w:r>
      <w:r w:rsidR="00D331B2" w:rsidRPr="00E335BD">
        <w:rPr>
          <w:sz w:val="22"/>
        </w:rPr>
        <w:t>Nadbrzeżnej</w:t>
      </w:r>
      <w:r w:rsidR="00E22E4A" w:rsidRPr="00E335BD">
        <w:t xml:space="preserve"> </w:t>
      </w:r>
      <w:r w:rsidRPr="00E335BD">
        <w:t>i</w:t>
      </w:r>
      <w:r>
        <w:t xml:space="preserve"> </w:t>
      </w:r>
      <w:r w:rsidR="00E22E4A" w:rsidRPr="00E22E4A">
        <w:t>utworzeni</w:t>
      </w:r>
      <w:r>
        <w:t>e</w:t>
      </w:r>
      <w:r w:rsidR="00E22E4A" w:rsidRPr="00E22E4A">
        <w:t xml:space="preserve"> parkingu K&amp;R (Kiss &amp; Ride)</w:t>
      </w:r>
      <w:r>
        <w:t>,</w:t>
      </w:r>
    </w:p>
    <w:p w:rsidR="00643F95" w:rsidRDefault="00643F95" w:rsidP="00E22E4A">
      <w:pPr>
        <w:autoSpaceDE w:val="0"/>
        <w:autoSpaceDN w:val="0"/>
        <w:adjustRightInd w:val="0"/>
        <w:spacing w:before="40" w:after="40" w:line="300" w:lineRule="exact"/>
        <w:ind w:left="284" w:hanging="284"/>
        <w:jc w:val="both"/>
      </w:pPr>
      <w:r>
        <w:t>c)</w:t>
      </w:r>
      <w:r>
        <w:tab/>
        <w:t>przebudowę i</w:t>
      </w:r>
      <w:r w:rsidR="00E22E4A" w:rsidRPr="00E22E4A">
        <w:t xml:space="preserve">nfrastruktury </w:t>
      </w:r>
      <w:r>
        <w:t xml:space="preserve">służącej </w:t>
      </w:r>
      <w:r w:rsidR="00E22E4A" w:rsidRPr="00E22E4A">
        <w:t xml:space="preserve">komunikacji </w:t>
      </w:r>
      <w:r>
        <w:t>m</w:t>
      </w:r>
      <w:r w:rsidR="00E22E4A" w:rsidRPr="00E22E4A">
        <w:t>iejskiej</w:t>
      </w:r>
      <w:r>
        <w:t xml:space="preserve"> – drogowej oraz służącej obsłudze pasażera,</w:t>
      </w:r>
    </w:p>
    <w:p w:rsidR="00643F95" w:rsidRDefault="00643F95" w:rsidP="00E22E4A">
      <w:pPr>
        <w:autoSpaceDE w:val="0"/>
        <w:autoSpaceDN w:val="0"/>
        <w:adjustRightInd w:val="0"/>
        <w:spacing w:before="40" w:after="40" w:line="300" w:lineRule="exact"/>
        <w:ind w:left="284" w:hanging="284"/>
        <w:jc w:val="both"/>
      </w:pPr>
      <w:r>
        <w:t>d)</w:t>
      </w:r>
      <w:r>
        <w:tab/>
        <w:t>modernizację (przebudowę) ciągów jezdnych, pieszych i rowerowych będących konsekwencją zaprojektowanych rozwiązań służących obsłudze węzła przesiadkowego (parkingów, zatok itd.),</w:t>
      </w:r>
    </w:p>
    <w:p w:rsidR="00FA5C87" w:rsidRDefault="00643F95" w:rsidP="005627B1">
      <w:pPr>
        <w:autoSpaceDE w:val="0"/>
        <w:autoSpaceDN w:val="0"/>
        <w:adjustRightInd w:val="0"/>
        <w:spacing w:before="40" w:after="40" w:line="300" w:lineRule="exact"/>
        <w:ind w:left="284" w:hanging="284"/>
        <w:jc w:val="both"/>
      </w:pPr>
      <w:r>
        <w:t>e)</w:t>
      </w:r>
      <w:r>
        <w:tab/>
      </w:r>
      <w:r w:rsidR="00E22E4A" w:rsidRPr="00E22E4A">
        <w:t>instalację nowoczesnych systemów informujących o możliwyc</w:t>
      </w:r>
      <w:r>
        <w:t>h formach i kierunkach podróży.</w:t>
      </w:r>
    </w:p>
    <w:p w:rsidR="00643F95" w:rsidRDefault="00643F95" w:rsidP="00702CBC">
      <w:pPr>
        <w:autoSpaceDE w:val="0"/>
        <w:autoSpaceDN w:val="0"/>
        <w:adjustRightInd w:val="0"/>
        <w:spacing w:before="40" w:after="40" w:line="300" w:lineRule="exact"/>
        <w:jc w:val="both"/>
      </w:pPr>
      <w:r>
        <w:t>Ad. a)</w:t>
      </w:r>
    </w:p>
    <w:p w:rsidR="00595C73" w:rsidRDefault="009E4088" w:rsidP="00595C73">
      <w:pPr>
        <w:autoSpaceDE w:val="0"/>
        <w:autoSpaceDN w:val="0"/>
        <w:adjustRightInd w:val="0"/>
        <w:spacing w:before="40" w:after="40" w:line="300" w:lineRule="exact"/>
        <w:jc w:val="both"/>
      </w:pPr>
      <w:r>
        <w:t xml:space="preserve">Sugerowana lokalizacja parkingu to obszar oznaczony </w:t>
      </w:r>
      <w:r w:rsidR="00786FE0">
        <w:t xml:space="preserve">jako KS.V.20 </w:t>
      </w:r>
      <w:r w:rsidR="001513A2">
        <w:t xml:space="preserve">w </w:t>
      </w:r>
      <w:r w:rsidR="00786FE0">
        <w:t>projekcie zmiany miejscowego planu zagospodarowania przestrzennego miasta Świnoujście - jednostka obszarowa V - rejon ulic: Dworcowej, Fińskiej, Duńskiej i Norberta Barlickiego.</w:t>
      </w:r>
      <w:r w:rsidR="00617EFD">
        <w:t xml:space="preserve"> Na etapie koncepcji należy rozważyć również wariant bez działki nr 13 (działka prywatna, możliwe problemy z jej pozyskaniem, oznaczona na poniższym rysunku cyfrą 1). W tym przypadku możliwe jest jeśli to będzie konieczne włączenie do zakresu działek miejskich (oznaczonych na rysunku cyfrą 2)</w:t>
      </w:r>
      <w:r w:rsidR="00786FE0">
        <w:t xml:space="preserve">. </w:t>
      </w:r>
      <w:r w:rsidR="00595C73">
        <w:t>W z</w:t>
      </w:r>
      <w:r w:rsidR="00786FE0">
        <w:t>akres</w:t>
      </w:r>
      <w:r w:rsidR="00595C73">
        <w:t xml:space="preserve">ie należy uwzględnić bezpośrednie, w poziomie terenu, skomunikowanie pieszo-rowerowe pomiędzy </w:t>
      </w:r>
      <w:r w:rsidR="00617EFD">
        <w:t>terenami 03.V.KD.Z i 05.V.KD.D (</w:t>
      </w:r>
      <w:r w:rsidR="00595C73">
        <w:t>w miejscu</w:t>
      </w:r>
    </w:p>
    <w:p w:rsidR="00786FE0" w:rsidRDefault="00595C73" w:rsidP="00786FE0">
      <w:pPr>
        <w:autoSpaceDE w:val="0"/>
        <w:autoSpaceDN w:val="0"/>
        <w:adjustRightInd w:val="0"/>
        <w:spacing w:before="40" w:after="40" w:line="300" w:lineRule="exact"/>
        <w:jc w:val="both"/>
      </w:pPr>
      <w:r>
        <w:t xml:space="preserve">oznaczonym na rysunku </w:t>
      </w:r>
      <w:r w:rsidR="00617EFD">
        <w:t>cyfrą 3)</w:t>
      </w:r>
      <w:r>
        <w:t xml:space="preserve">. </w:t>
      </w:r>
      <w:r w:rsidR="00786FE0">
        <w:t xml:space="preserve">W razie konieczności zakres powinien uwzględniać również drogę dojazdową oznaczoną 05.V.KD.D w niezbędnej wielkości. </w:t>
      </w:r>
    </w:p>
    <w:p w:rsidR="00846705" w:rsidRDefault="00846705" w:rsidP="006519CE">
      <w:pPr>
        <w:tabs>
          <w:tab w:val="left" w:pos="851"/>
        </w:tabs>
        <w:jc w:val="both"/>
      </w:pPr>
      <w:r>
        <w:t xml:space="preserve">Parking powinien uwzględniać </w:t>
      </w:r>
      <w:r w:rsidR="006519CE">
        <w:t xml:space="preserve">niezbędną ilość miejsc dla samochodów osobowych (ok. 150-200, lecz należy przeprowadzić bilans zapotrzebowania uwzględniający m.in. wyeliminowanie parkowania legalnego jak i dzikiego z ulic przyległych tj. ulicy Barlickiego, Dworcowej i Nadbrzeżnej), miejsca dla autokarów oraz busów. </w:t>
      </w:r>
      <w:r>
        <w:t xml:space="preserve">Należy uwzględnić </w:t>
      </w:r>
      <w:r w:rsidR="006519CE">
        <w:t xml:space="preserve">zadaszone </w:t>
      </w:r>
      <w:r>
        <w:t xml:space="preserve">miejsca postojowe dla rowerów, jak i również miejsce pod wypożyczalnię sprzętu rowerowego. Ponadto parking powinien </w:t>
      </w:r>
      <w:r w:rsidR="006519CE">
        <w:t xml:space="preserve">być wyposażony w automatyczny system dostępu z możliwością pobierania opłat oraz w system informujący o wolnych/zajętych miejscach. Należy uwzględnić możliwość lokalizacji </w:t>
      </w:r>
      <w:r>
        <w:t>stacj</w:t>
      </w:r>
      <w:r w:rsidR="006519CE">
        <w:t>i</w:t>
      </w:r>
      <w:r>
        <w:t xml:space="preserve"> ładowania pojazdów samochodowych</w:t>
      </w:r>
      <w:r w:rsidR="006519CE">
        <w:t xml:space="preserve"> o napędzie </w:t>
      </w:r>
      <w:r>
        <w:t>elektryczny</w:t>
      </w:r>
      <w:r w:rsidR="006519CE">
        <w:t>m.</w:t>
      </w:r>
    </w:p>
    <w:p w:rsidR="005627B1" w:rsidRDefault="009321F9" w:rsidP="009321F9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4838700" cy="3131016"/>
            <wp:effectExtent l="19050" t="0" r="0" b="0"/>
            <wp:docPr id="15" name="Obraz 14" descr="WP_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B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947" cy="313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CE" w:rsidRDefault="006519CE" w:rsidP="006519CE">
      <w:pPr>
        <w:tabs>
          <w:tab w:val="left" w:pos="851"/>
        </w:tabs>
        <w:jc w:val="both"/>
      </w:pPr>
    </w:p>
    <w:p w:rsidR="006C51A8" w:rsidRDefault="006C51A8" w:rsidP="006C51A8">
      <w:pPr>
        <w:autoSpaceDE w:val="0"/>
        <w:autoSpaceDN w:val="0"/>
        <w:adjustRightInd w:val="0"/>
        <w:spacing w:before="40" w:after="40" w:line="300" w:lineRule="exact"/>
        <w:jc w:val="both"/>
      </w:pPr>
      <w:r>
        <w:t>Ad. b)</w:t>
      </w:r>
    </w:p>
    <w:p w:rsidR="006C51A8" w:rsidRDefault="006C51A8" w:rsidP="006519CE">
      <w:pPr>
        <w:tabs>
          <w:tab w:val="left" w:pos="851"/>
        </w:tabs>
        <w:jc w:val="both"/>
      </w:pPr>
      <w:r>
        <w:t>Ulica Dworcowa oznaczona w projekcie mpzp 03.V.KD.Z służy jako bezpośredni dojazd do dworca PKP, dworca PKS, dworca komunikacji miejskiej oraz do miejskiej przeprawy promowej. Ulica Nadbrzeżna oznaczona w projekcie mpzp 04.V.KD.L służy jako bezpośredni wjazd na miejską przeprawę promową. Należy przewidzieć wyeliminowanie możliwości długotrwałego parkowania (w tym celu zakłada się budowę P&amp;R), a umożliwić krótkotrwałe parkowanie dla osób podwożących pasażerów komunikacji zbiorowej – parking K&amp;R w ilości 30-50 miejsc.</w:t>
      </w:r>
      <w:r w:rsidR="00FD359E">
        <w:t xml:space="preserve"> Dopuszcza się lokalizację postoju TAXI.</w:t>
      </w:r>
    </w:p>
    <w:p w:rsidR="006C51A8" w:rsidRDefault="006C51A8" w:rsidP="006519CE">
      <w:pPr>
        <w:tabs>
          <w:tab w:val="left" w:pos="851"/>
        </w:tabs>
        <w:jc w:val="both"/>
      </w:pPr>
    </w:p>
    <w:p w:rsidR="006C51A8" w:rsidRDefault="006C51A8" w:rsidP="006C51A8">
      <w:pPr>
        <w:autoSpaceDE w:val="0"/>
        <w:autoSpaceDN w:val="0"/>
        <w:adjustRightInd w:val="0"/>
        <w:spacing w:before="40" w:after="40" w:line="300" w:lineRule="exact"/>
        <w:jc w:val="both"/>
      </w:pPr>
      <w:r>
        <w:t>Ad. c)</w:t>
      </w:r>
    </w:p>
    <w:p w:rsidR="00FD359E" w:rsidRDefault="007B2CCF" w:rsidP="006519CE">
      <w:pPr>
        <w:tabs>
          <w:tab w:val="left" w:pos="851"/>
        </w:tabs>
        <w:jc w:val="both"/>
        <w:rPr>
          <w:iCs/>
        </w:rPr>
      </w:pPr>
      <w:r>
        <w:t xml:space="preserve">Zakresem </w:t>
      </w:r>
      <w:r w:rsidR="009321F9">
        <w:t xml:space="preserve">opracowania dokumentacji projektowej </w:t>
      </w:r>
      <w:r>
        <w:t>należy objąć część obszaru oznaczonego w proje</w:t>
      </w:r>
      <w:r w:rsidR="009321F9">
        <w:t>kcie mpzp nr KS.V.21 (na rysunku oznaczonego cyfrą 1</w:t>
      </w:r>
      <w:r>
        <w:t xml:space="preserve">), która </w:t>
      </w:r>
      <w:r w:rsidR="009321F9">
        <w:t>jest własnością Gminy Miasto Świnoujście</w:t>
      </w:r>
      <w:r>
        <w:t xml:space="preserve">. </w:t>
      </w:r>
      <w:r w:rsidR="009321F9">
        <w:t>Pozostała część niniejszego obszaru (oznaczona na rysunku cyfrą 2) powinna zostać wzięta pod uwagę na etapie koncepcji</w:t>
      </w:r>
      <w:r>
        <w:t xml:space="preserve"> wstępnej. </w:t>
      </w:r>
      <w:r w:rsidR="00A14D96">
        <w:t xml:space="preserve">Całość obszaru KS.V.21 powinna zostać opracowana w taki sposób, aby możliwa była realizacja jednej części niezależnie od drugiej. </w:t>
      </w:r>
      <w:r w:rsidR="004276D1">
        <w:rPr>
          <w:iCs/>
        </w:rPr>
        <w:t>Teren ten</w:t>
      </w:r>
      <w:r w:rsidR="00A14D96">
        <w:rPr>
          <w:iCs/>
        </w:rPr>
        <w:t xml:space="preserve"> (oznaczony cyfrą 1)</w:t>
      </w:r>
      <w:r w:rsidR="004276D1">
        <w:rPr>
          <w:iCs/>
        </w:rPr>
        <w:t xml:space="preserve"> służy </w:t>
      </w:r>
      <w:r w:rsidR="00A14D96">
        <w:rPr>
          <w:iCs/>
        </w:rPr>
        <w:t xml:space="preserve">obsłudze </w:t>
      </w:r>
      <w:r w:rsidR="004276D1" w:rsidRPr="0095340C">
        <w:rPr>
          <w:iCs/>
        </w:rPr>
        <w:t>miejskiej  komunikacji zbiorowej</w:t>
      </w:r>
      <w:r w:rsidR="004276D1">
        <w:rPr>
          <w:iCs/>
        </w:rPr>
        <w:t>. Należy uwzględnić jego modernizację (nawierzchnie, odwodnienie, oświetlenie)</w:t>
      </w:r>
      <w:r w:rsidR="004276D1" w:rsidRPr="0095340C">
        <w:rPr>
          <w:iCs/>
        </w:rPr>
        <w:t xml:space="preserve"> </w:t>
      </w:r>
      <w:r w:rsidR="004276D1">
        <w:rPr>
          <w:iCs/>
        </w:rPr>
        <w:t>oraz dostosowanie do korzystania przez osoby niepełnosprawne. Uwzglę</w:t>
      </w:r>
      <w:r w:rsidR="00A14D96">
        <w:rPr>
          <w:iCs/>
        </w:rPr>
        <w:t>dnić wyposażenie w urządzenia</w:t>
      </w:r>
      <w:r w:rsidR="004276D1">
        <w:rPr>
          <w:iCs/>
        </w:rPr>
        <w:t xml:space="preserve"> </w:t>
      </w:r>
      <w:r w:rsidR="00A14D96">
        <w:rPr>
          <w:iCs/>
        </w:rPr>
        <w:t xml:space="preserve">do obsługi </w:t>
      </w:r>
      <w:r w:rsidR="004276D1">
        <w:rPr>
          <w:iCs/>
        </w:rPr>
        <w:t xml:space="preserve">pasażera </w:t>
      </w:r>
      <w:r w:rsidR="004276D1" w:rsidRPr="0095340C">
        <w:rPr>
          <w:iCs/>
        </w:rPr>
        <w:t xml:space="preserve">oraz </w:t>
      </w:r>
      <w:r w:rsidR="004276D1">
        <w:rPr>
          <w:iCs/>
        </w:rPr>
        <w:t xml:space="preserve">w system informacji pasażerskiej (czytelny i przejrzysty). </w:t>
      </w:r>
      <w:r w:rsidR="00FD359E" w:rsidRPr="00E72FCA">
        <w:rPr>
          <w:iCs/>
        </w:rPr>
        <w:t xml:space="preserve">Należy uwzględnić możliwość instalacji stacji </w:t>
      </w:r>
      <w:r w:rsidR="00E72FCA" w:rsidRPr="00E72FCA">
        <w:rPr>
          <w:iCs/>
        </w:rPr>
        <w:t xml:space="preserve">(urządzeń) </w:t>
      </w:r>
      <w:r w:rsidR="00FD359E" w:rsidRPr="00E72FCA">
        <w:rPr>
          <w:iCs/>
        </w:rPr>
        <w:t xml:space="preserve">ładowania </w:t>
      </w:r>
      <w:r w:rsidR="00E72FCA" w:rsidRPr="00E72FCA">
        <w:rPr>
          <w:iCs/>
        </w:rPr>
        <w:t>dla autobusów elektrycznych (tak, aby w przypadku ich zakupu nie było konieczności ingerencji w wybudowaną infrastrukturę)</w:t>
      </w:r>
      <w:r w:rsidR="00FD359E" w:rsidRPr="00E72FCA">
        <w:rPr>
          <w:iCs/>
        </w:rPr>
        <w:t>.</w:t>
      </w:r>
      <w:r w:rsidR="00FD359E">
        <w:rPr>
          <w:iCs/>
        </w:rPr>
        <w:t xml:space="preserve"> Rozważyć możliwość zadaszenia ciągów komunikacyjnych służących pasażerom do zmiany środka transportu (z dworca PKP na dworzec autobusowy i komunikacji miejskiej, dojścia do peronów itp.).</w:t>
      </w:r>
    </w:p>
    <w:p w:rsidR="009C57B7" w:rsidRDefault="009C57B7" w:rsidP="006519CE">
      <w:pPr>
        <w:tabs>
          <w:tab w:val="left" w:pos="851"/>
        </w:tabs>
        <w:jc w:val="both"/>
        <w:rPr>
          <w:iCs/>
        </w:rPr>
      </w:pPr>
    </w:p>
    <w:p w:rsidR="00A14D96" w:rsidRDefault="00A14D96" w:rsidP="00A14D96">
      <w:pPr>
        <w:tabs>
          <w:tab w:val="left" w:pos="851"/>
        </w:tabs>
        <w:jc w:val="center"/>
        <w:rPr>
          <w:iCs/>
        </w:rPr>
      </w:pPr>
      <w:r>
        <w:rPr>
          <w:iCs/>
          <w:noProof/>
        </w:rPr>
        <w:drawing>
          <wp:inline distT="0" distB="0" distL="0" distR="0">
            <wp:extent cx="5446405" cy="3524250"/>
            <wp:effectExtent l="19050" t="0" r="1895" b="0"/>
            <wp:docPr id="16" name="Obraz 15" descr="WP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K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520" cy="353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59E" w:rsidRDefault="00FD359E" w:rsidP="006519CE">
      <w:pPr>
        <w:tabs>
          <w:tab w:val="left" w:pos="851"/>
        </w:tabs>
        <w:jc w:val="both"/>
        <w:rPr>
          <w:iCs/>
        </w:rPr>
      </w:pPr>
    </w:p>
    <w:p w:rsidR="009C57B7" w:rsidRDefault="009C57B7" w:rsidP="006519CE">
      <w:pPr>
        <w:tabs>
          <w:tab w:val="left" w:pos="851"/>
        </w:tabs>
        <w:jc w:val="both"/>
        <w:rPr>
          <w:iCs/>
        </w:rPr>
      </w:pPr>
    </w:p>
    <w:p w:rsidR="009C57B7" w:rsidRDefault="009C57B7" w:rsidP="006519CE">
      <w:pPr>
        <w:tabs>
          <w:tab w:val="left" w:pos="851"/>
        </w:tabs>
        <w:jc w:val="both"/>
        <w:rPr>
          <w:iCs/>
        </w:rPr>
      </w:pPr>
    </w:p>
    <w:p w:rsidR="00FD359E" w:rsidRDefault="00FD359E" w:rsidP="006519CE">
      <w:pPr>
        <w:tabs>
          <w:tab w:val="left" w:pos="851"/>
        </w:tabs>
        <w:jc w:val="both"/>
        <w:rPr>
          <w:iCs/>
        </w:rPr>
      </w:pPr>
      <w:r>
        <w:rPr>
          <w:iCs/>
        </w:rPr>
        <w:t>Ad. d)</w:t>
      </w:r>
    </w:p>
    <w:p w:rsidR="00FD359E" w:rsidRDefault="00FD359E" w:rsidP="006519CE">
      <w:pPr>
        <w:tabs>
          <w:tab w:val="left" w:pos="851"/>
        </w:tabs>
        <w:jc w:val="both"/>
        <w:rPr>
          <w:iCs/>
        </w:rPr>
      </w:pPr>
      <w:r>
        <w:rPr>
          <w:iCs/>
        </w:rPr>
        <w:t xml:space="preserve">Zakres wynikający z zastosowanych rozwiązań elementów wynikających z pkt. a), b) i c). </w:t>
      </w:r>
    </w:p>
    <w:p w:rsidR="00FD359E" w:rsidRDefault="00FD359E" w:rsidP="006519CE">
      <w:pPr>
        <w:tabs>
          <w:tab w:val="left" w:pos="851"/>
        </w:tabs>
        <w:jc w:val="both"/>
        <w:rPr>
          <w:iCs/>
        </w:rPr>
      </w:pPr>
    </w:p>
    <w:p w:rsidR="00FD359E" w:rsidRDefault="00FD359E" w:rsidP="006519CE">
      <w:pPr>
        <w:tabs>
          <w:tab w:val="left" w:pos="851"/>
        </w:tabs>
        <w:jc w:val="both"/>
        <w:rPr>
          <w:iCs/>
        </w:rPr>
      </w:pPr>
      <w:r>
        <w:rPr>
          <w:iCs/>
        </w:rPr>
        <w:t>Ad. e)</w:t>
      </w:r>
    </w:p>
    <w:p w:rsidR="00FD359E" w:rsidRDefault="00FD359E" w:rsidP="006519CE">
      <w:pPr>
        <w:tabs>
          <w:tab w:val="left" w:pos="851"/>
        </w:tabs>
        <w:jc w:val="both"/>
        <w:rPr>
          <w:iCs/>
        </w:rPr>
      </w:pPr>
      <w:r>
        <w:rPr>
          <w:iCs/>
        </w:rPr>
        <w:t>Jednolity, spójny i przejrzysty system informacji dla pasażerów, zarówno o możliwych kierunkach podróży jak i środkach transportu im służących. Ponadto uwzględnić instalację infomatów z opcją możliwości zakupu biletów lub biletomatów.</w:t>
      </w:r>
    </w:p>
    <w:p w:rsidR="00FD359E" w:rsidRDefault="00FD359E" w:rsidP="006519CE">
      <w:pPr>
        <w:tabs>
          <w:tab w:val="left" w:pos="851"/>
        </w:tabs>
        <w:jc w:val="both"/>
        <w:rPr>
          <w:iCs/>
        </w:rPr>
      </w:pPr>
    </w:p>
    <w:p w:rsidR="006C51A8" w:rsidRDefault="00FD359E" w:rsidP="006519CE">
      <w:pPr>
        <w:tabs>
          <w:tab w:val="left" w:pos="851"/>
        </w:tabs>
        <w:jc w:val="both"/>
        <w:rPr>
          <w:b/>
        </w:rPr>
      </w:pPr>
      <w:r w:rsidRPr="00A14D96">
        <w:rPr>
          <w:b/>
        </w:rPr>
        <w:t xml:space="preserve">Zamawiający posiada zapewnione środki w budżecie w wysokości ok. 8,4 mln zł. Zamawiający oczekuje zaprojektowanie zadania w taki sposób, aby w razie </w:t>
      </w:r>
      <w:r w:rsidR="00FD5C11" w:rsidRPr="00A14D96">
        <w:rPr>
          <w:b/>
        </w:rPr>
        <w:t xml:space="preserve">przekroczenia budżetu była możliwość jego </w:t>
      </w:r>
      <w:r w:rsidRPr="00A14D96">
        <w:rPr>
          <w:b/>
        </w:rPr>
        <w:t>etapow</w:t>
      </w:r>
      <w:r w:rsidR="00FD5C11" w:rsidRPr="00A14D96">
        <w:rPr>
          <w:b/>
        </w:rPr>
        <w:t xml:space="preserve">ania. </w:t>
      </w:r>
      <w:r w:rsidRPr="00A14D96">
        <w:rPr>
          <w:b/>
        </w:rPr>
        <w:t xml:space="preserve">Zadaniem </w:t>
      </w:r>
      <w:r w:rsidR="00FD5C11" w:rsidRPr="00A14D96">
        <w:rPr>
          <w:b/>
        </w:rPr>
        <w:t>Projektanta będzie wstępna ocena możliwości zrealizowania całego programu w jednym etapie, a w razie konieczności</w:t>
      </w:r>
      <w:r w:rsidRPr="00A14D96">
        <w:rPr>
          <w:b/>
        </w:rPr>
        <w:t xml:space="preserve"> wskazanie ewentualnych możliwości racjonalnego etapowania </w:t>
      </w:r>
      <w:r w:rsidR="00FD5C11" w:rsidRPr="00A14D96">
        <w:rPr>
          <w:b/>
        </w:rPr>
        <w:t>zamierzenia</w:t>
      </w:r>
      <w:r w:rsidRPr="00A14D96">
        <w:rPr>
          <w:b/>
        </w:rPr>
        <w:t xml:space="preserve"> w kontekście</w:t>
      </w:r>
      <w:r w:rsidR="00FD5C11" w:rsidRPr="00A14D96">
        <w:rPr>
          <w:b/>
        </w:rPr>
        <w:t xml:space="preserve"> w/w określonego</w:t>
      </w:r>
      <w:r w:rsidRPr="00A14D96">
        <w:rPr>
          <w:b/>
        </w:rPr>
        <w:t xml:space="preserve"> budżetu</w:t>
      </w:r>
      <w:r w:rsidR="00FD5C11" w:rsidRPr="00A14D96">
        <w:rPr>
          <w:b/>
        </w:rPr>
        <w:t>.</w:t>
      </w:r>
    </w:p>
    <w:p w:rsidR="00832570" w:rsidRPr="00A14D96" w:rsidRDefault="00832570" w:rsidP="006519CE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Gmina Miasto Świnoujście przystąpiła </w:t>
      </w:r>
      <w:bookmarkStart w:id="0" w:name="_GoBack"/>
      <w:bookmarkEnd w:id="0"/>
      <w:r>
        <w:rPr>
          <w:b/>
        </w:rPr>
        <w:t>do zmian obowiązującego miejscowego planu zagospodarowania przestrzennego. Projekt nowego planu zostanie udostępniony wybranemu wykonawcy.</w:t>
      </w:r>
    </w:p>
    <w:p w:rsidR="00403340" w:rsidRDefault="00403340" w:rsidP="003E49E7">
      <w:pPr>
        <w:pStyle w:val="Default"/>
        <w:jc w:val="both"/>
      </w:pPr>
    </w:p>
    <w:p w:rsidR="00C4737D" w:rsidRPr="00C436F8" w:rsidRDefault="00DB4FA6" w:rsidP="00DB4FA6">
      <w:pPr>
        <w:shd w:val="clear" w:color="auto" w:fill="FFFFFF" w:themeFill="background1"/>
        <w:ind w:left="567" w:hanging="567"/>
        <w:jc w:val="both"/>
        <w:rPr>
          <w:rFonts w:cs="A"/>
          <w:b/>
        </w:rPr>
      </w:pPr>
      <w:r w:rsidRPr="00C436F8">
        <w:rPr>
          <w:rFonts w:cs="A"/>
          <w:b/>
        </w:rPr>
        <w:t>2.</w:t>
      </w:r>
      <w:r w:rsidRPr="00C436F8">
        <w:rPr>
          <w:rFonts w:cs="A"/>
          <w:b/>
        </w:rPr>
        <w:tab/>
        <w:t>Zakres przedmiotu zamówienia</w:t>
      </w:r>
      <w:r w:rsidR="00F044ED" w:rsidRPr="00C436F8">
        <w:rPr>
          <w:rFonts w:cs="A"/>
          <w:b/>
        </w:rPr>
        <w:t>.</w:t>
      </w:r>
    </w:p>
    <w:p w:rsidR="00B74BD3" w:rsidRPr="00C436F8" w:rsidRDefault="00784A7C" w:rsidP="00784A7C">
      <w:pPr>
        <w:shd w:val="clear" w:color="auto" w:fill="FFFFFF" w:themeFill="background1"/>
        <w:ind w:left="567"/>
        <w:jc w:val="both"/>
        <w:rPr>
          <w:rFonts w:cs="A"/>
        </w:rPr>
      </w:pPr>
      <w:r w:rsidRPr="00C436F8">
        <w:rPr>
          <w:rFonts w:cs="A"/>
        </w:rPr>
        <w:t xml:space="preserve">Zakres przedmiotu zamówienia obejmuje wykonanie </w:t>
      </w:r>
      <w:r w:rsidR="00B74BD3" w:rsidRPr="00C436F8">
        <w:rPr>
          <w:rFonts w:cs="A"/>
        </w:rPr>
        <w:t>kompletnej dokumentacji budowlanej ni</w:t>
      </w:r>
      <w:r w:rsidR="00FA1E3A" w:rsidRPr="00C436F8">
        <w:rPr>
          <w:rFonts w:cs="A"/>
        </w:rPr>
        <w:t>e</w:t>
      </w:r>
      <w:r w:rsidR="00B74BD3" w:rsidRPr="00C436F8">
        <w:rPr>
          <w:rFonts w:cs="A"/>
        </w:rPr>
        <w:t>zbędnej do uzyskania decyzji zezw</w:t>
      </w:r>
      <w:r w:rsidR="00C436F8" w:rsidRPr="00C436F8">
        <w:rPr>
          <w:rFonts w:cs="A"/>
        </w:rPr>
        <w:t xml:space="preserve">alających </w:t>
      </w:r>
      <w:r w:rsidR="00B74BD3" w:rsidRPr="00C436F8">
        <w:rPr>
          <w:rFonts w:cs="A"/>
        </w:rPr>
        <w:t>na realizację inwestycji oraz kompletnej dokumentacji wykonawczej niezbędnej do opisu przedmiotu zamówienia i wyboru wykonawcy inwestycji zgodnie z wymaganiami Prawo zamówień publicznych.</w:t>
      </w:r>
    </w:p>
    <w:p w:rsidR="00784A7C" w:rsidRPr="00C436F8" w:rsidRDefault="008B2CB3" w:rsidP="00784A7C">
      <w:pPr>
        <w:shd w:val="clear" w:color="auto" w:fill="FFFFFF" w:themeFill="background1"/>
        <w:ind w:left="567"/>
        <w:jc w:val="both"/>
        <w:rPr>
          <w:rFonts w:cs="A"/>
        </w:rPr>
      </w:pPr>
      <w:r w:rsidRPr="00C436F8">
        <w:rPr>
          <w:rFonts w:cs="A"/>
        </w:rPr>
        <w:t>Na zakres przedmiotu zamówienia składają się następujące elementy:</w:t>
      </w:r>
    </w:p>
    <w:p w:rsidR="0005787A" w:rsidRPr="00C436F8" w:rsidRDefault="00C436F8" w:rsidP="00D12578">
      <w:pPr>
        <w:pStyle w:val="Akapitzlist"/>
        <w:numPr>
          <w:ilvl w:val="1"/>
          <w:numId w:val="17"/>
        </w:numPr>
        <w:shd w:val="clear" w:color="auto" w:fill="FFFFFF" w:themeFill="background1"/>
        <w:spacing w:before="120"/>
        <w:ind w:left="567" w:hanging="567"/>
        <w:jc w:val="both"/>
        <w:rPr>
          <w:rFonts w:cs="A"/>
        </w:rPr>
      </w:pPr>
      <w:r w:rsidRPr="00C436F8">
        <w:rPr>
          <w:rFonts w:cs="A"/>
          <w:u w:val="single"/>
        </w:rPr>
        <w:t>K</w:t>
      </w:r>
      <w:r w:rsidR="00FA1E3A" w:rsidRPr="00C436F8">
        <w:rPr>
          <w:rFonts w:cs="A"/>
          <w:u w:val="single"/>
        </w:rPr>
        <w:t>oncepcja</w:t>
      </w:r>
      <w:r w:rsidR="00CB1B13" w:rsidRPr="00C436F8">
        <w:rPr>
          <w:rFonts w:cs="A"/>
          <w:u w:val="single"/>
        </w:rPr>
        <w:t xml:space="preserve"> </w:t>
      </w:r>
      <w:r w:rsidRPr="00C436F8">
        <w:rPr>
          <w:rFonts w:cs="A"/>
          <w:u w:val="single"/>
        </w:rPr>
        <w:t>ostateczna przedsięwzięcia (KO</w:t>
      </w:r>
      <w:r w:rsidR="00CB1B13" w:rsidRPr="00C436F8">
        <w:rPr>
          <w:rFonts w:cs="A"/>
          <w:u w:val="single"/>
        </w:rPr>
        <w:t>P</w:t>
      </w:r>
      <w:r w:rsidR="00625590" w:rsidRPr="00C436F8">
        <w:rPr>
          <w:rFonts w:cs="A"/>
          <w:u w:val="single"/>
        </w:rPr>
        <w:t>)</w:t>
      </w:r>
      <w:r w:rsidR="00FA1E3A" w:rsidRPr="00C436F8">
        <w:rPr>
          <w:rFonts w:cs="A"/>
        </w:rPr>
        <w:t>.</w:t>
      </w:r>
    </w:p>
    <w:p w:rsidR="00CB1B13" w:rsidRPr="00C436F8" w:rsidRDefault="00C436F8" w:rsidP="00CB1B13">
      <w:pPr>
        <w:pStyle w:val="Akapitzlist"/>
        <w:shd w:val="clear" w:color="auto" w:fill="FFFFFF" w:themeFill="background1"/>
        <w:ind w:left="567"/>
        <w:jc w:val="both"/>
      </w:pPr>
      <w:r w:rsidRPr="00C436F8">
        <w:rPr>
          <w:rFonts w:cs="A"/>
        </w:rPr>
        <w:t>KO</w:t>
      </w:r>
      <w:r w:rsidR="00CB1B13" w:rsidRPr="00C436F8">
        <w:rPr>
          <w:rFonts w:cs="A"/>
        </w:rPr>
        <w:t xml:space="preserve">P należy opracować </w:t>
      </w:r>
      <w:r w:rsidRPr="00C436F8">
        <w:rPr>
          <w:rFonts w:cs="A"/>
        </w:rPr>
        <w:t xml:space="preserve">na bazie wstępnej koncepcji </w:t>
      </w:r>
      <w:r w:rsidR="006C31DA">
        <w:rPr>
          <w:rFonts w:cs="A"/>
        </w:rPr>
        <w:t xml:space="preserve">projektowej przedsięwzięcia </w:t>
      </w:r>
      <w:r w:rsidRPr="00C436F8">
        <w:rPr>
          <w:rFonts w:cs="A"/>
        </w:rPr>
        <w:t>załączonej do oferty, z uwzględnieniem uwag Zamawiającego wniesionych w dniu podpisania umowy. KOP powinien zawierać oszacowaną wartość kosztorysową inwestycji.</w:t>
      </w:r>
      <w:r w:rsidR="00CB1B13" w:rsidRPr="00C436F8">
        <w:rPr>
          <w:rFonts w:cs="A"/>
        </w:rPr>
        <w:t xml:space="preserve"> </w:t>
      </w:r>
      <w:r w:rsidR="006E589A" w:rsidRPr="00C436F8">
        <w:rPr>
          <w:rFonts w:cs="A"/>
        </w:rPr>
        <w:t>Wykonawca przed zatwierdzeniem koncepcji winien ją zaprezentować w siedzibie Zamawiającego na spotkaniu z udziałem wszystkich zainteresowanych s</w:t>
      </w:r>
      <w:r w:rsidRPr="00C436F8">
        <w:rPr>
          <w:rFonts w:cs="A"/>
        </w:rPr>
        <w:t>tron. Po prezentacji, w ciągu 7</w:t>
      </w:r>
      <w:r w:rsidR="006E589A" w:rsidRPr="00C436F8">
        <w:rPr>
          <w:rFonts w:cs="A"/>
        </w:rPr>
        <w:t xml:space="preserve"> dni Zamawiający </w:t>
      </w:r>
      <w:r w:rsidRPr="00C436F8">
        <w:rPr>
          <w:rFonts w:cs="A"/>
        </w:rPr>
        <w:t>zaakceptuje KOP i ewentualnie określi</w:t>
      </w:r>
      <w:r w:rsidR="00B44063" w:rsidRPr="00C436F8">
        <w:rPr>
          <w:rFonts w:cs="A"/>
        </w:rPr>
        <w:t xml:space="preserve"> swoje oczekiwania i wskazania do uwzględnienia </w:t>
      </w:r>
      <w:r w:rsidRPr="00C436F8">
        <w:rPr>
          <w:rFonts w:cs="A"/>
        </w:rPr>
        <w:t>na dalszym etapie projektowym</w:t>
      </w:r>
      <w:r w:rsidR="00B44063" w:rsidRPr="00C436F8">
        <w:rPr>
          <w:rFonts w:cs="A"/>
        </w:rPr>
        <w:t>.</w:t>
      </w:r>
      <w:r w:rsidR="00BC3E9D" w:rsidRPr="00C436F8">
        <w:rPr>
          <w:rFonts w:cs="A"/>
        </w:rPr>
        <w:t xml:space="preserve"> </w:t>
      </w:r>
      <w:r w:rsidR="00BC3E9D" w:rsidRPr="00C436F8">
        <w:t>Zaakceptowana pro</w:t>
      </w:r>
      <w:r w:rsidRPr="00C436F8">
        <w:t>tokolarnie przez Zamawiającego KOP st</w:t>
      </w:r>
      <w:r w:rsidR="00BC3E9D" w:rsidRPr="00C436F8">
        <w:t>anowić będzie podstawę do dalszej realizacji prac projektowych przez Wykonawcę</w:t>
      </w:r>
      <w:r w:rsidR="00AE48C8" w:rsidRPr="00C436F8">
        <w:t>.</w:t>
      </w:r>
    </w:p>
    <w:p w:rsidR="004961E9" w:rsidRPr="00C436F8" w:rsidRDefault="00C436F8" w:rsidP="00D12578">
      <w:pPr>
        <w:pStyle w:val="Akapitzlist"/>
        <w:shd w:val="clear" w:color="auto" w:fill="FFFFFF" w:themeFill="background1"/>
        <w:spacing w:after="120"/>
        <w:ind w:left="567"/>
        <w:jc w:val="both"/>
      </w:pPr>
      <w:r w:rsidRPr="00C436F8">
        <w:rPr>
          <w:rFonts w:cs="A"/>
        </w:rPr>
        <w:t>KO</w:t>
      </w:r>
      <w:r w:rsidR="004961E9" w:rsidRPr="00C436F8">
        <w:rPr>
          <w:rFonts w:cs="A"/>
        </w:rPr>
        <w:t xml:space="preserve">P </w:t>
      </w:r>
      <w:r w:rsidR="004961E9" w:rsidRPr="00C436F8">
        <w:t>wraz ze wszystkimi załącznikami należy sporządzić w 3 egzemplarzach w wersji drukowanej oraz 1 egz. wersji elektronicznej w formacie pdf.</w:t>
      </w:r>
    </w:p>
    <w:p w:rsidR="00D12578" w:rsidRPr="006E540D" w:rsidRDefault="00D12578" w:rsidP="00D12578">
      <w:pPr>
        <w:pStyle w:val="Akapitzlist"/>
        <w:shd w:val="clear" w:color="auto" w:fill="FFFFFF" w:themeFill="background1"/>
        <w:spacing w:before="120" w:after="120"/>
        <w:ind w:left="567"/>
        <w:jc w:val="both"/>
        <w:rPr>
          <w:sz w:val="12"/>
          <w:szCs w:val="12"/>
        </w:rPr>
      </w:pPr>
    </w:p>
    <w:p w:rsidR="0072439F" w:rsidRPr="006E540D" w:rsidRDefault="00D12578" w:rsidP="004322CC">
      <w:pPr>
        <w:pStyle w:val="Akapitzlist"/>
        <w:numPr>
          <w:ilvl w:val="1"/>
          <w:numId w:val="17"/>
        </w:numPr>
        <w:shd w:val="clear" w:color="auto" w:fill="FFFFFF" w:themeFill="background1"/>
        <w:spacing w:before="120"/>
        <w:ind w:left="567" w:hanging="567"/>
        <w:jc w:val="both"/>
        <w:rPr>
          <w:rFonts w:cs="A"/>
        </w:rPr>
      </w:pPr>
      <w:r w:rsidRPr="006E540D">
        <w:rPr>
          <w:u w:val="single"/>
        </w:rPr>
        <w:t xml:space="preserve">Projekt budowlany wraz z opiniami, uzgodnieniami, pozwoleniami i innymi dokumentami wymaganymi przepisami szczególnymi, umożliwiający złożenie wniosku o wydanie decyzji o </w:t>
      </w:r>
      <w:r w:rsidR="006E540D" w:rsidRPr="006E540D">
        <w:rPr>
          <w:u w:val="single"/>
        </w:rPr>
        <w:t>pozwoleniu na budowę</w:t>
      </w:r>
      <w:r w:rsidRPr="006E540D">
        <w:rPr>
          <w:u w:val="single"/>
        </w:rPr>
        <w:t xml:space="preserve"> (PB)</w:t>
      </w:r>
      <w:r w:rsidRPr="006E540D">
        <w:t>.</w:t>
      </w:r>
    </w:p>
    <w:p w:rsidR="0081126B" w:rsidRPr="006E540D" w:rsidRDefault="001E095F" w:rsidP="00D12578">
      <w:pPr>
        <w:pStyle w:val="Akapitzlist"/>
        <w:shd w:val="clear" w:color="auto" w:fill="FFFFFF" w:themeFill="background1"/>
        <w:spacing w:before="120"/>
        <w:ind w:left="567"/>
        <w:jc w:val="both"/>
      </w:pPr>
      <w:r w:rsidRPr="006E540D">
        <w:rPr>
          <w:rFonts w:cs="A"/>
        </w:rPr>
        <w:t>PB</w:t>
      </w:r>
      <w:r w:rsidR="0081126B" w:rsidRPr="006E540D">
        <w:rPr>
          <w:rFonts w:cs="A"/>
        </w:rPr>
        <w:t xml:space="preserve"> należy opracować zgodnie z </w:t>
      </w:r>
      <w:r w:rsidR="0081126B" w:rsidRPr="006E540D">
        <w:t xml:space="preserve">rozporządzeniem Ministra Infrastruktury z dnia 25 kwietnia 2012 r. w sprawie szczegółowego zakresu i formy projektu budowlanego (Dz. U. z 2012 poz. 462 z późn. zm.). PB należy opracować dla wybranej i zatwierdzonej przez Zamawiającego koncepcji. PB winien uwzględniać wszystkie niezbędne branże w tym m.in. </w:t>
      </w:r>
      <w:r w:rsidR="006E540D" w:rsidRPr="006E540D">
        <w:t xml:space="preserve">architektoniczną, konstrukcyjną, </w:t>
      </w:r>
      <w:r w:rsidR="0081126B" w:rsidRPr="006E540D">
        <w:t>drogową</w:t>
      </w:r>
      <w:r w:rsidR="00E71B5B" w:rsidRPr="006E540D">
        <w:t xml:space="preserve"> z organizacją ruchu</w:t>
      </w:r>
      <w:r w:rsidR="0081126B" w:rsidRPr="006E540D">
        <w:t xml:space="preserve">, instalacyjną w zakresie </w:t>
      </w:r>
      <w:r w:rsidR="006E540D" w:rsidRPr="006E540D">
        <w:t>sieci, przyłączy i instalacji sanitarnych i elektroenergetycznych</w:t>
      </w:r>
      <w:r w:rsidR="0081126B" w:rsidRPr="006E540D">
        <w:t xml:space="preserve">, </w:t>
      </w:r>
      <w:r w:rsidR="006E540D" w:rsidRPr="006E540D">
        <w:t>instalacyjną</w:t>
      </w:r>
      <w:r w:rsidR="0081126B" w:rsidRPr="006E540D">
        <w:t xml:space="preserve"> w zakresie </w:t>
      </w:r>
      <w:r w:rsidR="006E540D" w:rsidRPr="006E540D">
        <w:t>usunięcia ewentualnych kolizji</w:t>
      </w:r>
      <w:r w:rsidR="0081126B" w:rsidRPr="006E540D">
        <w:t>. W ramach PB wykonawca winien uwzględnić</w:t>
      </w:r>
      <w:r w:rsidR="00581A3E" w:rsidRPr="006E540D">
        <w:t xml:space="preserve"> </w:t>
      </w:r>
      <w:r w:rsidR="00581A3E" w:rsidRPr="006E540D">
        <w:lastRenderedPageBreak/>
        <w:t>wszystkie niezbędne elementy, w tym m.in:</w:t>
      </w:r>
      <w:r w:rsidR="0081126B" w:rsidRPr="006E540D">
        <w:t xml:space="preserve"> pozyskanie mapy do celów projektowych</w:t>
      </w:r>
      <w:r w:rsidR="00581A3E" w:rsidRPr="006E540D">
        <w:t xml:space="preserve">, </w:t>
      </w:r>
      <w:r w:rsidR="0081126B" w:rsidRPr="006E540D">
        <w:t xml:space="preserve">wykonanie niezbędnych badań podłoża wraz z opracowaniem dokumentacji </w:t>
      </w:r>
      <w:r w:rsidR="00581A3E" w:rsidRPr="006E540D">
        <w:t xml:space="preserve">geotechnicznej, wykonanie inwentaryzacji zieleni wraz ze wskazaniem zieleni przeznaczonej do usunięcia, wykonanie inwentaryzacji kolidujących elementów, wykonanie i przygotowanie wszystkich niezbędnych elementów do uzyskania decyzji o środowiskowych uwarunkowaniach </w:t>
      </w:r>
      <w:r w:rsidR="00093D9B" w:rsidRPr="006E540D">
        <w:t>łącznie z raportem środowiskowym jeśli zajdzie taka potrzeba itp.</w:t>
      </w:r>
    </w:p>
    <w:p w:rsidR="004322CC" w:rsidRPr="00BF28EA" w:rsidRDefault="00093D9B" w:rsidP="00BF28EA">
      <w:pPr>
        <w:pStyle w:val="Akapitzlist"/>
        <w:shd w:val="clear" w:color="auto" w:fill="FFFFFF" w:themeFill="background1"/>
        <w:spacing w:before="120"/>
        <w:ind w:left="567"/>
        <w:jc w:val="both"/>
      </w:pPr>
      <w:r w:rsidRPr="006E540D">
        <w:rPr>
          <w:rFonts w:cs="A"/>
        </w:rPr>
        <w:t xml:space="preserve">PB </w:t>
      </w:r>
      <w:r w:rsidRPr="006E540D">
        <w:t>wraz ze wszystkimi załącznikami należy sporządzić w 5 egzemplarzach w wersji drukowanej oraz 1 egz. wersji elektronicznej w formacie pdf.</w:t>
      </w:r>
      <w:r w:rsidR="00B10214" w:rsidRPr="006E540D">
        <w:t xml:space="preserve"> W ramach PB wykonawca jest zobowiązany przekazać Zamawiającemu kopię obliczeń projektowych dla wszystkich branż. </w:t>
      </w:r>
    </w:p>
    <w:p w:rsidR="005B6556" w:rsidRPr="00BF28EA" w:rsidRDefault="005B6556" w:rsidP="00BF28EA">
      <w:pPr>
        <w:jc w:val="both"/>
        <w:rPr>
          <w:color w:val="FF0000"/>
          <w:sz w:val="12"/>
          <w:szCs w:val="12"/>
        </w:rPr>
      </w:pPr>
    </w:p>
    <w:p w:rsidR="004D7AA5" w:rsidRPr="00BF28EA" w:rsidRDefault="004D7AA5" w:rsidP="004D7AA5">
      <w:pPr>
        <w:pStyle w:val="Akapitzlist"/>
        <w:numPr>
          <w:ilvl w:val="1"/>
          <w:numId w:val="17"/>
        </w:numPr>
        <w:ind w:left="567" w:hanging="567"/>
        <w:jc w:val="both"/>
        <w:rPr>
          <w:u w:val="single"/>
        </w:rPr>
      </w:pPr>
      <w:r w:rsidRPr="00BF28EA">
        <w:rPr>
          <w:u w:val="single"/>
        </w:rPr>
        <w:t>Projekt</w:t>
      </w:r>
      <w:r w:rsidR="00BF28EA" w:rsidRPr="00BF28EA">
        <w:rPr>
          <w:u w:val="single"/>
        </w:rPr>
        <w:t>y wykonawcze</w:t>
      </w:r>
      <w:r w:rsidRPr="00BF28EA">
        <w:rPr>
          <w:u w:val="single"/>
        </w:rPr>
        <w:t xml:space="preserve"> (PW).</w:t>
      </w:r>
    </w:p>
    <w:p w:rsidR="0022666C" w:rsidRPr="00BF28EA" w:rsidRDefault="004D7AA5" w:rsidP="004D7AA5">
      <w:pPr>
        <w:pStyle w:val="Akapitzlist"/>
        <w:ind w:left="567"/>
        <w:jc w:val="both"/>
      </w:pPr>
      <w:r w:rsidRPr="00BF28EA">
        <w:t xml:space="preserve">PW </w:t>
      </w:r>
      <w:r w:rsidR="0022666C" w:rsidRPr="00BF28EA">
        <w:rPr>
          <w:rFonts w:cs="A"/>
        </w:rPr>
        <w:t xml:space="preserve">należy opracować zgodnie z </w:t>
      </w:r>
      <w:r w:rsidR="0022666C" w:rsidRPr="00BF28EA">
        <w:t>rozporządzeniem Ministra Infrastruktury z dnia 25 kwietnia 2012 r. w sprawie szczegółowego zakresu i formy projektu budowlanego (Dz. U. z 2012 poz. 462 z późn. zm.) oraz zgodnie z rozporządzeniem Ministra Infrastruktury z dnia 2 września 2004r, w  sprawie szczegółowego zakresu i formy dokumentacji projektowej, specyfikacji technicznych wykonania i odbioru robót budowlanych oraz programu funkcjonalno – użytkowego (t.j. Dz. U. z 2013r. poz. 1129 z późn. zm.).</w:t>
      </w:r>
    </w:p>
    <w:p w:rsidR="004D7AA5" w:rsidRPr="00BF28EA" w:rsidRDefault="00BF28EA" w:rsidP="004D7AA5">
      <w:pPr>
        <w:pStyle w:val="Akapitzlist"/>
        <w:ind w:left="567"/>
        <w:jc w:val="both"/>
      </w:pPr>
      <w:r w:rsidRPr="00BF28EA">
        <w:t>PW</w:t>
      </w:r>
      <w:r w:rsidR="0022666C" w:rsidRPr="00BF28EA">
        <w:t xml:space="preserve"> </w:t>
      </w:r>
      <w:r w:rsidRPr="00BF28EA">
        <w:t>należy opracować odrębnie dla poszczególnych obiektów z uwzględnieniem wszystkich niezbędnych branż</w:t>
      </w:r>
      <w:r w:rsidR="0022666C" w:rsidRPr="00BF28EA">
        <w:t>.</w:t>
      </w:r>
    </w:p>
    <w:p w:rsidR="0022666C" w:rsidRPr="00BF28EA" w:rsidRDefault="00BF28EA" w:rsidP="0022666C">
      <w:pPr>
        <w:pStyle w:val="Akapitzlist"/>
        <w:shd w:val="clear" w:color="auto" w:fill="FFFFFF" w:themeFill="background1"/>
        <w:spacing w:before="120"/>
        <w:ind w:left="567"/>
        <w:jc w:val="both"/>
      </w:pPr>
      <w:r w:rsidRPr="00BF28EA">
        <w:rPr>
          <w:rFonts w:cs="A"/>
        </w:rPr>
        <w:t>PW</w:t>
      </w:r>
      <w:r w:rsidR="0022666C" w:rsidRPr="00BF28EA">
        <w:rPr>
          <w:rFonts w:cs="A"/>
        </w:rPr>
        <w:t xml:space="preserve"> </w:t>
      </w:r>
      <w:r w:rsidR="0022666C" w:rsidRPr="00BF28EA">
        <w:t>wraz ze wszystkimi załącznikami należy sporządzić w 3 egzemplarzach w wersji drukowanej oraz 1 egz. wersji elektronicznej w formacie doc (opis) i dwg (rysunki).</w:t>
      </w:r>
    </w:p>
    <w:p w:rsidR="00E7784B" w:rsidRPr="001238E6" w:rsidRDefault="00E7784B" w:rsidP="001238E6">
      <w:pPr>
        <w:jc w:val="both"/>
        <w:rPr>
          <w:color w:val="FF0000"/>
          <w:sz w:val="12"/>
          <w:szCs w:val="12"/>
        </w:rPr>
      </w:pPr>
    </w:p>
    <w:p w:rsidR="00E7784B" w:rsidRPr="001238E6" w:rsidRDefault="005A2A0A" w:rsidP="004D7AA5">
      <w:pPr>
        <w:pStyle w:val="Akapitzlist"/>
        <w:numPr>
          <w:ilvl w:val="1"/>
          <w:numId w:val="17"/>
        </w:numPr>
        <w:ind w:left="567" w:hanging="567"/>
        <w:jc w:val="both"/>
      </w:pPr>
      <w:r w:rsidRPr="001238E6">
        <w:rPr>
          <w:u w:val="single"/>
        </w:rPr>
        <w:t>Przedmiar robót dla wszystkich elementów i branż (PR).</w:t>
      </w:r>
    </w:p>
    <w:p w:rsidR="005A2A0A" w:rsidRPr="001238E6" w:rsidRDefault="005A2A0A" w:rsidP="005A2A0A">
      <w:pPr>
        <w:pStyle w:val="Akapitzlist"/>
        <w:ind w:left="567"/>
        <w:jc w:val="both"/>
      </w:pPr>
      <w:r w:rsidRPr="001238E6">
        <w:t>PR</w:t>
      </w:r>
      <w:r w:rsidR="00716265" w:rsidRPr="001238E6">
        <w:t xml:space="preserve"> </w:t>
      </w:r>
      <w:r w:rsidR="00716265" w:rsidRPr="001238E6">
        <w:rPr>
          <w:rFonts w:cs="A"/>
        </w:rPr>
        <w:t xml:space="preserve">należy opracować zgodnie z </w:t>
      </w:r>
      <w:r w:rsidR="00716265" w:rsidRPr="001238E6">
        <w:t>rozporządzeniem Ministra Infrastruktury z dnia 25 kwietnia 2012 r. w sprawie szczegółowego zakresu i formy projektu budowlanego (Dz. U. z 2012 poz. 462 z późn. zm.) oraz zgodnie z rozporządzeniem Ministra Infrastruktury z dnia 2 września 2004r, w  sprawie szczegółowego zakresu i formy dokumentacji projektowej, specyfikacji technicznych wykonania i odbioru robót budowlanych oraz programu funkcjonalno – użytkowego (t.j. Dz. U. z 2013r. poz. 1129 z późn. zm.).</w:t>
      </w:r>
    </w:p>
    <w:p w:rsidR="00716265" w:rsidRPr="001238E6" w:rsidRDefault="00716265" w:rsidP="005A2A0A">
      <w:pPr>
        <w:pStyle w:val="Akapitzlist"/>
        <w:ind w:left="567"/>
        <w:jc w:val="both"/>
      </w:pPr>
      <w:r w:rsidRPr="001238E6">
        <w:t>PR należy sporządzić z wyszczególnieniem wszystkich branż oraz z wyodrębnieniem obiektów.</w:t>
      </w:r>
    </w:p>
    <w:p w:rsidR="00716265" w:rsidRPr="001238E6" w:rsidRDefault="00716265" w:rsidP="00DA3F5F">
      <w:pPr>
        <w:pStyle w:val="Akapitzlist"/>
        <w:shd w:val="clear" w:color="auto" w:fill="FFFFFF" w:themeFill="background1"/>
        <w:spacing w:before="120"/>
        <w:ind w:left="567"/>
        <w:jc w:val="both"/>
      </w:pPr>
      <w:r w:rsidRPr="001238E6">
        <w:t>PR należy sporządzić w 3 egzemplarzach w wersji drukowanej oraz 1 egz. wersji elektronicznej w formacie ath.</w:t>
      </w:r>
    </w:p>
    <w:p w:rsidR="005A2A0A" w:rsidRPr="000B2EDF" w:rsidRDefault="005A2A0A" w:rsidP="005A2A0A">
      <w:pPr>
        <w:pStyle w:val="Akapitzlist"/>
        <w:ind w:left="567"/>
        <w:jc w:val="both"/>
        <w:rPr>
          <w:color w:val="FF0000"/>
          <w:sz w:val="12"/>
          <w:szCs w:val="12"/>
        </w:rPr>
      </w:pPr>
    </w:p>
    <w:p w:rsidR="005A2A0A" w:rsidRPr="001238E6" w:rsidRDefault="0010629D" w:rsidP="004D7AA5">
      <w:pPr>
        <w:pStyle w:val="Akapitzlist"/>
        <w:numPr>
          <w:ilvl w:val="1"/>
          <w:numId w:val="17"/>
        </w:numPr>
        <w:ind w:left="567" w:hanging="567"/>
        <w:jc w:val="both"/>
        <w:rPr>
          <w:u w:val="single"/>
        </w:rPr>
      </w:pPr>
      <w:r w:rsidRPr="001238E6">
        <w:rPr>
          <w:u w:val="single"/>
        </w:rPr>
        <w:t>Kosztorys inwestorski (KI).</w:t>
      </w:r>
    </w:p>
    <w:p w:rsidR="00890D2C" w:rsidRPr="001238E6" w:rsidRDefault="0010629D" w:rsidP="00890D2C">
      <w:pPr>
        <w:pStyle w:val="Akapitzlist"/>
        <w:ind w:left="567"/>
        <w:jc w:val="both"/>
      </w:pPr>
      <w:r w:rsidRPr="001238E6">
        <w:t xml:space="preserve">KI </w:t>
      </w:r>
      <w:r w:rsidR="00890D2C" w:rsidRPr="001238E6">
        <w:rPr>
          <w:rFonts w:cs="A"/>
        </w:rPr>
        <w:t xml:space="preserve">należy opracować zgodnie z </w:t>
      </w:r>
      <w:r w:rsidR="00890D2C" w:rsidRPr="001238E6">
        <w:t>rozporządzeniem Ministra Infrastruktury z dnia 2 września 2004r, w  sprawie szczegółowego zakresu i formy dokumentacji projektowej, specyfikacji technicznych wykonania i odbioru robót budowlanych oraz programu funkcjonalno – użytkowego (t.j. Dz. U. z 2013r. poz. 1129 z późn. zm.).</w:t>
      </w:r>
    </w:p>
    <w:p w:rsidR="00890D2C" w:rsidRPr="001238E6" w:rsidRDefault="00890D2C" w:rsidP="00890D2C">
      <w:pPr>
        <w:pStyle w:val="Akapitzlist"/>
        <w:ind w:left="567"/>
        <w:jc w:val="both"/>
      </w:pPr>
      <w:r w:rsidRPr="001238E6">
        <w:t>KI należy sporządzić z wyszczególnieniem wszystkich branż oraz z wyodrębnieniem obiektów.</w:t>
      </w:r>
    </w:p>
    <w:p w:rsidR="00890D2C" w:rsidRPr="001238E6" w:rsidRDefault="00234D8B" w:rsidP="00890D2C">
      <w:pPr>
        <w:pStyle w:val="Akapitzlist"/>
        <w:ind w:left="567"/>
        <w:jc w:val="both"/>
      </w:pPr>
      <w:r w:rsidRPr="001238E6">
        <w:t>Założenia wyjściowe do KI:</w:t>
      </w:r>
    </w:p>
    <w:p w:rsidR="00234D8B" w:rsidRPr="001238E6" w:rsidRDefault="00234D8B" w:rsidP="007E7E4E">
      <w:pPr>
        <w:suppressAutoHyphens/>
        <w:ind w:left="709" w:hanging="142"/>
        <w:jc w:val="both"/>
      </w:pPr>
      <w:r w:rsidRPr="001238E6">
        <w:t>-</w:t>
      </w:r>
      <w:r w:rsidRPr="001238E6">
        <w:tab/>
        <w:t>wywóz i utylizacja odpadów pozostałych po wycince drzew i krzewów (tj. karpin, gałęzi i liści) w zakresie wykonawcy robót</w:t>
      </w:r>
      <w:r w:rsidR="007E7E4E" w:rsidRPr="001238E6">
        <w:t>,</w:t>
      </w:r>
    </w:p>
    <w:p w:rsidR="00234D8B" w:rsidRPr="001238E6" w:rsidRDefault="00234D8B" w:rsidP="007E7E4E">
      <w:pPr>
        <w:suppressAutoHyphens/>
        <w:ind w:left="709" w:hanging="142"/>
        <w:jc w:val="both"/>
      </w:pPr>
      <w:r w:rsidRPr="001238E6">
        <w:t>-</w:t>
      </w:r>
      <w:r w:rsidRPr="001238E6">
        <w:tab/>
      </w:r>
      <w:r w:rsidR="007E7E4E" w:rsidRPr="001238E6">
        <w:t>drewno pozostałe po wycince drzew i krzewów</w:t>
      </w:r>
      <w:r w:rsidR="001238E6" w:rsidRPr="001238E6">
        <w:t xml:space="preserve"> </w:t>
      </w:r>
      <w:r w:rsidR="007E7E4E" w:rsidRPr="001238E6">
        <w:t xml:space="preserve">– </w:t>
      </w:r>
      <w:r w:rsidR="001238E6" w:rsidRPr="001238E6">
        <w:t>stanowi własność wykonawcy robót</w:t>
      </w:r>
      <w:r w:rsidRPr="001238E6">
        <w:t>,</w:t>
      </w:r>
    </w:p>
    <w:p w:rsidR="007E7E4E" w:rsidRPr="001238E6" w:rsidRDefault="007E7E4E" w:rsidP="007E7E4E">
      <w:pPr>
        <w:suppressAutoHyphens/>
        <w:ind w:left="709" w:hanging="142"/>
        <w:jc w:val="both"/>
      </w:pPr>
      <w:r w:rsidRPr="001238E6">
        <w:t>-</w:t>
      </w:r>
      <w:r w:rsidRPr="001238E6">
        <w:tab/>
        <w:t>wywóz wszelkich odpadów i urobku niepotrzebnego do dalszego wykorzystania w zakresie wykonawcy robót,</w:t>
      </w:r>
    </w:p>
    <w:p w:rsidR="00234D8B" w:rsidRPr="001238E6" w:rsidRDefault="007E7E4E" w:rsidP="007E7E4E">
      <w:pPr>
        <w:suppressAutoHyphens/>
        <w:ind w:left="709" w:hanging="142"/>
        <w:jc w:val="both"/>
      </w:pPr>
      <w:r w:rsidRPr="001238E6">
        <w:lastRenderedPageBreak/>
        <w:t>-</w:t>
      </w:r>
      <w:r w:rsidRPr="001238E6">
        <w:tab/>
        <w:t>materiały rozbiórkowe nadając się do ponownego wykorzystania - należy przewidzieć wywóz w miejsce wskazane przez Zamawiającego w odl. do 10 km od  miejsca budowy</w:t>
      </w:r>
      <w:r w:rsidR="00C310CB" w:rsidRPr="001238E6">
        <w:t>.</w:t>
      </w:r>
    </w:p>
    <w:p w:rsidR="00890D2C" w:rsidRPr="001238E6" w:rsidRDefault="00890D2C" w:rsidP="00C310CB">
      <w:pPr>
        <w:pStyle w:val="Akapitzlist"/>
        <w:shd w:val="clear" w:color="auto" w:fill="FFFFFF" w:themeFill="background1"/>
        <w:ind w:left="567"/>
        <w:jc w:val="both"/>
      </w:pPr>
      <w:r w:rsidRPr="001238E6">
        <w:t xml:space="preserve">KI należy sporządzić w </w:t>
      </w:r>
      <w:r w:rsidR="00C310CB" w:rsidRPr="001238E6">
        <w:t>2</w:t>
      </w:r>
      <w:r w:rsidRPr="001238E6">
        <w:t xml:space="preserve"> egzemplarzach w wersji drukowanej oraz 1 egz. wersji elektronicznej w formacie ath.</w:t>
      </w:r>
    </w:p>
    <w:p w:rsidR="0010629D" w:rsidRPr="000B2EDF" w:rsidRDefault="0010629D" w:rsidP="0010629D">
      <w:pPr>
        <w:pStyle w:val="Akapitzlist"/>
        <w:ind w:left="567"/>
        <w:jc w:val="both"/>
        <w:rPr>
          <w:color w:val="FF0000"/>
          <w:sz w:val="12"/>
          <w:szCs w:val="12"/>
        </w:rPr>
      </w:pPr>
    </w:p>
    <w:p w:rsidR="0010629D" w:rsidRPr="001238E6" w:rsidRDefault="00CA733C" w:rsidP="004D7AA5">
      <w:pPr>
        <w:pStyle w:val="Akapitzlist"/>
        <w:numPr>
          <w:ilvl w:val="1"/>
          <w:numId w:val="17"/>
        </w:numPr>
        <w:ind w:left="567" w:hanging="567"/>
        <w:jc w:val="both"/>
        <w:rPr>
          <w:u w:val="single"/>
        </w:rPr>
      </w:pPr>
      <w:r w:rsidRPr="001238E6">
        <w:rPr>
          <w:u w:val="single"/>
        </w:rPr>
        <w:t>Specyfikacje techniczne wykonania i odbioru robót (STWIOR).</w:t>
      </w:r>
    </w:p>
    <w:p w:rsidR="007C78C4" w:rsidRPr="001238E6" w:rsidRDefault="00CA733C" w:rsidP="007C78C4">
      <w:pPr>
        <w:pStyle w:val="Akapitzlist"/>
        <w:ind w:left="567"/>
        <w:jc w:val="both"/>
      </w:pPr>
      <w:r w:rsidRPr="001238E6">
        <w:t xml:space="preserve">STWIOR </w:t>
      </w:r>
      <w:r w:rsidR="007C78C4" w:rsidRPr="001238E6">
        <w:rPr>
          <w:rFonts w:cs="A"/>
        </w:rPr>
        <w:t xml:space="preserve">należy opracować zgodnie z </w:t>
      </w:r>
      <w:r w:rsidR="007C78C4" w:rsidRPr="001238E6">
        <w:t>rozporządzeniem Ministra Infrastruktury z dnia 2 września 2004r, w  sprawie szczegółowego zakresu i formy dokumentacji projektowej, specyfikacji technicznych wykonania i odbioru robót budowlanych oraz programu funkcjonalno – użytkowego (t.j. Dz. U. z 2013r. poz. 1129 z późn. zm.).</w:t>
      </w:r>
    </w:p>
    <w:p w:rsidR="007C78C4" w:rsidRPr="001238E6" w:rsidRDefault="007C78C4" w:rsidP="007C78C4">
      <w:pPr>
        <w:pStyle w:val="Akapitzlist"/>
        <w:ind w:left="567"/>
        <w:jc w:val="both"/>
      </w:pPr>
      <w:r w:rsidRPr="001238E6">
        <w:t xml:space="preserve">STWIOR należy </w:t>
      </w:r>
      <w:r w:rsidR="001238E6" w:rsidRPr="001238E6">
        <w:t>sporządzić z wyszczególnieniem wszystkich branż oraz z wyodrębnieniem obiektów</w:t>
      </w:r>
      <w:r w:rsidRPr="001238E6">
        <w:t>.</w:t>
      </w:r>
    </w:p>
    <w:p w:rsidR="007C78C4" w:rsidRPr="001238E6" w:rsidRDefault="007C78C4" w:rsidP="007C78C4">
      <w:pPr>
        <w:pStyle w:val="Akapitzlist"/>
        <w:ind w:left="567"/>
        <w:jc w:val="both"/>
      </w:pPr>
      <w:r w:rsidRPr="001238E6">
        <w:t>STWIOR (każdy element) należy sporządzić w 3 egzemplarzach w wersji drukowanej oraz 1 egz. wersji elektronicznej w formacie doc.</w:t>
      </w:r>
    </w:p>
    <w:p w:rsidR="00CA733C" w:rsidRPr="000B2EDF" w:rsidRDefault="00CA733C" w:rsidP="00CA733C">
      <w:pPr>
        <w:pStyle w:val="Akapitzlist"/>
        <w:ind w:left="567"/>
        <w:jc w:val="both"/>
        <w:rPr>
          <w:color w:val="FF0000"/>
          <w:sz w:val="12"/>
          <w:szCs w:val="12"/>
        </w:rPr>
      </w:pPr>
    </w:p>
    <w:p w:rsidR="00CA733C" w:rsidRPr="00F66410" w:rsidRDefault="00950CFE" w:rsidP="004D7AA5">
      <w:pPr>
        <w:pStyle w:val="Akapitzlist"/>
        <w:numPr>
          <w:ilvl w:val="1"/>
          <w:numId w:val="17"/>
        </w:numPr>
        <w:ind w:left="567" w:hanging="567"/>
        <w:jc w:val="both"/>
        <w:rPr>
          <w:u w:val="single"/>
        </w:rPr>
      </w:pPr>
      <w:r w:rsidRPr="00F66410">
        <w:rPr>
          <w:u w:val="single"/>
        </w:rPr>
        <w:t>Inne czynności wykonywane w trakcie projektowania – m.in. wizje lokalne, udział w spotkaniach, naradach, uzgodnieniach i konsultacjach społecznych (IC).</w:t>
      </w:r>
    </w:p>
    <w:p w:rsidR="00950CFE" w:rsidRPr="00F66410" w:rsidRDefault="00950CFE" w:rsidP="00950CFE">
      <w:pPr>
        <w:pStyle w:val="Akapitzlist"/>
        <w:ind w:left="567"/>
        <w:jc w:val="both"/>
      </w:pPr>
      <w:r w:rsidRPr="00F66410">
        <w:t>IC</w:t>
      </w:r>
      <w:r w:rsidR="00DA1981" w:rsidRPr="00F66410">
        <w:t xml:space="preserve"> obejmuje: dokonanie wizji lokalnej terenu przedsięwzięcia przez wszystkich członków zespołu projektowego, n</w:t>
      </w:r>
      <w:r w:rsidR="00F66410" w:rsidRPr="00F66410">
        <w:t xml:space="preserve">iezbędną ilość wizyt i spotkań </w:t>
      </w:r>
      <w:r w:rsidR="00DA1981" w:rsidRPr="00F66410">
        <w:t xml:space="preserve"> w celu uzgodnienia wszystkich elementów przedsięwzięcia, udział całego zespołu projektowego w cyklicznych naradach z Zamawiającym w trakcie wykonywania prac projektowych (minimum 1 raz w miesiącu w siedzibie Zamawiającego), udział całego zespołu projektowego w konsultacjach z udziałem społeczeństwa (planowane są 2 spotkania – jedno przed zatwierdzeniem koncepcji i drugie po zakończeniu wszystkich prac projektowych), niezbędną ilość wizyt w celu dokonania wszystkich wymaganych przepisami uzgodnień</w:t>
      </w:r>
      <w:r w:rsidR="00437B61" w:rsidRPr="00F66410">
        <w:t>.</w:t>
      </w:r>
      <w:r w:rsidR="00DA1981" w:rsidRPr="00F66410">
        <w:t xml:space="preserve">    </w:t>
      </w:r>
    </w:p>
    <w:p w:rsidR="00950CFE" w:rsidRPr="000B2EDF" w:rsidRDefault="00950CFE" w:rsidP="00950CFE">
      <w:pPr>
        <w:pStyle w:val="Akapitzlist"/>
        <w:ind w:left="567"/>
        <w:jc w:val="both"/>
        <w:rPr>
          <w:color w:val="FF0000"/>
          <w:sz w:val="12"/>
          <w:szCs w:val="12"/>
        </w:rPr>
      </w:pPr>
    </w:p>
    <w:p w:rsidR="00950CFE" w:rsidRPr="00F66410" w:rsidRDefault="00950CFE" w:rsidP="004D7AA5">
      <w:pPr>
        <w:pStyle w:val="Akapitzlist"/>
        <w:numPr>
          <w:ilvl w:val="1"/>
          <w:numId w:val="17"/>
        </w:numPr>
        <w:ind w:left="567" w:hanging="567"/>
        <w:jc w:val="both"/>
        <w:rPr>
          <w:u w:val="single"/>
        </w:rPr>
      </w:pPr>
      <w:r w:rsidRPr="00F66410">
        <w:rPr>
          <w:u w:val="single"/>
        </w:rPr>
        <w:t>Materiały prezentacyjne (MP).</w:t>
      </w:r>
    </w:p>
    <w:p w:rsidR="00950CFE" w:rsidRPr="00F66410" w:rsidRDefault="00950CFE" w:rsidP="00950CFE">
      <w:pPr>
        <w:pStyle w:val="Akapitzlist"/>
        <w:ind w:left="567"/>
        <w:jc w:val="both"/>
        <w:rPr>
          <w:rFonts w:cs="A"/>
        </w:rPr>
      </w:pPr>
      <w:r w:rsidRPr="00F66410">
        <w:t xml:space="preserve">MP należy wykonać w formie wizualizacji i prezentacji. Wizualizacja winna zawierać przedstawiać </w:t>
      </w:r>
      <w:r w:rsidRPr="00F66410">
        <w:rPr>
          <w:rFonts w:cs="A"/>
        </w:rPr>
        <w:t xml:space="preserve">plany sytuacyjne w skali 1:5000, przekroje poprzeczne i podłużne w miejscach charakterystycznych w skali dostosowanej do planu sytuacyjnego </w:t>
      </w:r>
      <w:r w:rsidR="00F66410" w:rsidRPr="00F66410">
        <w:rPr>
          <w:rFonts w:cs="A"/>
        </w:rPr>
        <w:t xml:space="preserve">oraz widoki 3D </w:t>
      </w:r>
      <w:r w:rsidRPr="00F66410">
        <w:rPr>
          <w:rFonts w:cs="A"/>
        </w:rPr>
        <w:t xml:space="preserve">(pliki w formacie PDF lub JPG oraz wydruki formatu A3). Prezentacja </w:t>
      </w:r>
      <w:r w:rsidR="00111C89" w:rsidRPr="00F66410">
        <w:rPr>
          <w:rFonts w:cs="A"/>
        </w:rPr>
        <w:t>w formacie MPP w ilości max. 20 slajdów winna zawierać rysunki z wizualizacji, opisy rozwiązań technicznych, podstawowe parametry techniczne, zestawienie kosztów inwestycyjnych.</w:t>
      </w:r>
    </w:p>
    <w:p w:rsidR="00111C89" w:rsidRPr="00F66410" w:rsidRDefault="00111C89" w:rsidP="00950CFE">
      <w:pPr>
        <w:pStyle w:val="Akapitzlist"/>
        <w:ind w:left="567"/>
        <w:jc w:val="both"/>
      </w:pPr>
      <w:r w:rsidRPr="00F66410">
        <w:t>MP należy sporządzić w 3 egzemplarzach w wersji drukowanej oraz 1 egz. wersji elektronicznej na informatycznych nośnikach danych. Dodatkowo 2 egz. wydruków wizualizacji w formacie A1 należy wykonać na płycie piankowo kartonowej lub spienionego PCV.</w:t>
      </w:r>
    </w:p>
    <w:p w:rsidR="00950CFE" w:rsidRPr="000B2EDF" w:rsidRDefault="00950CFE" w:rsidP="00950CFE">
      <w:pPr>
        <w:pStyle w:val="Akapitzlist"/>
        <w:ind w:left="567"/>
        <w:jc w:val="both"/>
        <w:rPr>
          <w:color w:val="FF0000"/>
          <w:sz w:val="12"/>
          <w:szCs w:val="12"/>
        </w:rPr>
      </w:pPr>
    </w:p>
    <w:p w:rsidR="00950CFE" w:rsidRPr="009C57B7" w:rsidRDefault="00E6126C" w:rsidP="004D7AA5">
      <w:pPr>
        <w:pStyle w:val="Akapitzlist"/>
        <w:numPr>
          <w:ilvl w:val="1"/>
          <w:numId w:val="17"/>
        </w:numPr>
        <w:ind w:left="567" w:hanging="567"/>
        <w:jc w:val="both"/>
        <w:rPr>
          <w:u w:val="single"/>
        </w:rPr>
      </w:pPr>
      <w:r w:rsidRPr="009C57B7">
        <w:rPr>
          <w:u w:val="single"/>
        </w:rPr>
        <w:t>Nadzór autorski (NA)</w:t>
      </w:r>
    </w:p>
    <w:p w:rsidR="00437B61" w:rsidRPr="009C57B7" w:rsidRDefault="00E6126C" w:rsidP="00437B61">
      <w:pPr>
        <w:ind w:left="567"/>
        <w:jc w:val="both"/>
      </w:pPr>
      <w:r w:rsidRPr="009C57B7">
        <w:t>NA</w:t>
      </w:r>
      <w:r w:rsidR="00437B61" w:rsidRPr="009C57B7">
        <w:t xml:space="preserve"> obejmuje wykonywanie podstawowych obowiązków projektanta w zakresie nadzoru autorskiego, wynikających z art. 20 ust.1 pkt 4) ustawy z dnia 7 lipca 1994r. Prawo budowlane (t.j. Dz. U. 2013 r., poz. 1409 z późn. zm.).</w:t>
      </w:r>
    </w:p>
    <w:p w:rsidR="00437B61" w:rsidRPr="009C57B7" w:rsidRDefault="00437B61" w:rsidP="00437B61">
      <w:pPr>
        <w:ind w:left="567"/>
        <w:jc w:val="both"/>
      </w:pPr>
      <w:r w:rsidRPr="009C57B7">
        <w:t>W szczególności nadzór autorski sprawowany przez Wykonawcę obejmował będzie:</w:t>
      </w:r>
    </w:p>
    <w:p w:rsidR="00437B61" w:rsidRPr="009C57B7" w:rsidRDefault="00437B61" w:rsidP="00437B61">
      <w:pPr>
        <w:ind w:left="851" w:hanging="284"/>
        <w:jc w:val="both"/>
      </w:pPr>
      <w:r w:rsidRPr="009C57B7">
        <w:t>a)</w:t>
      </w:r>
      <w:r w:rsidRPr="009C57B7">
        <w:tab/>
        <w:t>stwierdzanie w toku wykonywanych robót budowlanych zgodności robót budowlanych z opracowanym projektem,</w:t>
      </w:r>
    </w:p>
    <w:p w:rsidR="00437B61" w:rsidRPr="009C57B7" w:rsidRDefault="00437B61" w:rsidP="00437B61">
      <w:pPr>
        <w:ind w:left="851" w:hanging="284"/>
        <w:jc w:val="both"/>
      </w:pPr>
      <w:r w:rsidRPr="009C57B7">
        <w:t>b)</w:t>
      </w:r>
      <w:r w:rsidRPr="009C57B7">
        <w:tab/>
        <w:t>niezwłoczne wyjaśnianie wszelkich wątpliwości dotyczących dokumentacji projektowej i zawartych w niej rozwiązań oraz uzupełnianie szczegółów dokumentacji projektowej,</w:t>
      </w:r>
    </w:p>
    <w:p w:rsidR="00437B61" w:rsidRPr="009C57B7" w:rsidRDefault="00437B61" w:rsidP="00437B61">
      <w:pPr>
        <w:ind w:left="851" w:hanging="284"/>
        <w:jc w:val="both"/>
      </w:pPr>
      <w:r w:rsidRPr="009C57B7">
        <w:lastRenderedPageBreak/>
        <w:t>c) uzgadnianie z zamawiającym i wykonawcą robót realizowanych na podstawie projektu możliwości wprowadzenia rozwiązań zamiennych w stosunku do przewidzianych w projekcie w odniesieniu do materiałów i konstrukcji oraz rozwiązań technicznych i technologicznych,</w:t>
      </w:r>
    </w:p>
    <w:p w:rsidR="00437B61" w:rsidRPr="009C57B7" w:rsidRDefault="00437B61" w:rsidP="00437B61">
      <w:pPr>
        <w:ind w:left="851" w:hanging="284"/>
        <w:jc w:val="both"/>
      </w:pPr>
      <w:r w:rsidRPr="009C57B7">
        <w:t>d)</w:t>
      </w:r>
      <w:r w:rsidRPr="009C57B7">
        <w:tab/>
        <w:t>czuwanie by zakres wprowadzonych zmian nie spowodował istotnej zmiany zatwierdzonego projektu budowlanego wymagającej uzyskania zmiany lub nowego zezwolenia na realizacje,</w:t>
      </w:r>
    </w:p>
    <w:p w:rsidR="00437B61" w:rsidRPr="009C57B7" w:rsidRDefault="00437B61" w:rsidP="00437B61">
      <w:pPr>
        <w:ind w:left="851" w:hanging="284"/>
        <w:jc w:val="both"/>
      </w:pPr>
      <w:r w:rsidRPr="009C57B7">
        <w:t>e)</w:t>
      </w:r>
      <w:r w:rsidRPr="009C57B7">
        <w:tab/>
        <w:t xml:space="preserve">udział w organizowanych radach budowy (minimum 1 raz w miesiącu) i naradach technicznych (w zależności od potrzeb i na </w:t>
      </w:r>
      <w:r w:rsidR="002351C3" w:rsidRPr="009C57B7">
        <w:t xml:space="preserve">każde udokumentowane </w:t>
      </w:r>
      <w:r w:rsidRPr="009C57B7">
        <w:t>wezwanie Zamawiającego</w:t>
      </w:r>
      <w:r w:rsidR="002351C3" w:rsidRPr="009C57B7">
        <w:t xml:space="preserve"> lub jego przedstawiciela na budowie w terminie do 3 dni od daty otrzymania wezwania</w:t>
      </w:r>
      <w:r w:rsidRPr="009C57B7">
        <w:t>),</w:t>
      </w:r>
    </w:p>
    <w:p w:rsidR="00FA5C87" w:rsidRPr="009C57B7" w:rsidRDefault="002351C3" w:rsidP="009C57B7">
      <w:pPr>
        <w:ind w:left="851" w:hanging="284"/>
        <w:jc w:val="both"/>
      </w:pPr>
      <w:r w:rsidRPr="009C57B7">
        <w:t>f)</w:t>
      </w:r>
      <w:r w:rsidRPr="009C57B7">
        <w:tab/>
      </w:r>
      <w:r w:rsidR="00437B61" w:rsidRPr="009C57B7">
        <w:t>kontrola budowy z częstotliwością uzależnioną od postępu robót, jednak nie rzadziej niż raz na miesiąc w dniu roboczym potwierdzona stos</w:t>
      </w:r>
      <w:r w:rsidRPr="009C57B7">
        <w:t>ownym wpisem w dzienniku budowy.</w:t>
      </w:r>
    </w:p>
    <w:p w:rsidR="00FA5C87" w:rsidRDefault="00FA5C87" w:rsidP="009B2A2F">
      <w:pPr>
        <w:ind w:left="1276" w:hanging="283"/>
        <w:jc w:val="both"/>
        <w:rPr>
          <w:rFonts w:cs="A"/>
          <w:color w:val="FF0000"/>
        </w:rPr>
      </w:pPr>
    </w:p>
    <w:p w:rsidR="00FA5C87" w:rsidRPr="000B2EDF" w:rsidRDefault="00FA5C87" w:rsidP="009B2A2F">
      <w:pPr>
        <w:ind w:left="1276" w:hanging="283"/>
        <w:jc w:val="both"/>
        <w:rPr>
          <w:rFonts w:cs="A"/>
          <w:color w:val="FF0000"/>
        </w:rPr>
      </w:pPr>
    </w:p>
    <w:sectPr w:rsidR="00FA5C87" w:rsidRPr="000B2EDF" w:rsidSect="00A612C1">
      <w:headerReference w:type="default" r:id="rId12"/>
      <w:footerReference w:type="default" r:id="rId13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88" w:rsidRDefault="00740588">
      <w:r>
        <w:separator/>
      </w:r>
    </w:p>
  </w:endnote>
  <w:endnote w:type="continuationSeparator" w:id="0">
    <w:p w:rsidR="00740588" w:rsidRDefault="0074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AD" w:rsidRDefault="0042728F">
    <w:pPr>
      <w:pStyle w:val="Stopka"/>
      <w:jc w:val="right"/>
    </w:pPr>
    <w:r>
      <w:rPr>
        <w:rStyle w:val="Numerstrony"/>
      </w:rPr>
      <w:fldChar w:fldCharType="begin"/>
    </w:r>
    <w:r w:rsidR="003066A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A3D94">
      <w:rPr>
        <w:rStyle w:val="Numerstrony"/>
        <w:noProof/>
      </w:rPr>
      <w:t>4</w:t>
    </w:r>
    <w:r>
      <w:rPr>
        <w:rStyle w:val="Numerstrony"/>
      </w:rPr>
      <w:fldChar w:fldCharType="end"/>
    </w:r>
    <w:r w:rsidR="003066AD">
      <w:rPr>
        <w:rStyle w:val="Numerstrony"/>
      </w:rPr>
      <w:t>/</w:t>
    </w:r>
    <w:r>
      <w:rPr>
        <w:rStyle w:val="Numerstrony"/>
      </w:rPr>
      <w:fldChar w:fldCharType="begin"/>
    </w:r>
    <w:r w:rsidR="003066AD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A3D94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88" w:rsidRDefault="00740588">
      <w:r>
        <w:separator/>
      </w:r>
    </w:p>
  </w:footnote>
  <w:footnote w:type="continuationSeparator" w:id="0">
    <w:p w:rsidR="00740588" w:rsidRDefault="0074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AD" w:rsidRDefault="003066AD">
    <w:pPr>
      <w:pStyle w:val="Nagwek2"/>
      <w:jc w:val="right"/>
      <w:rPr>
        <w:sz w:val="20"/>
      </w:rPr>
    </w:pPr>
    <w:r>
      <w:rPr>
        <w:sz w:val="20"/>
      </w:rPr>
      <w:t xml:space="preserve">Załącznik nr 2.1 do </w:t>
    </w:r>
    <w:r w:rsidR="00B32342">
      <w:rPr>
        <w:sz w:val="20"/>
      </w:rPr>
      <w:t xml:space="preserve">SIWZ nr </w:t>
    </w:r>
    <w:r>
      <w:rPr>
        <w:sz w:val="20"/>
      </w:rPr>
      <w:t>WIM.</w:t>
    </w:r>
    <w:r w:rsidR="00B21B81">
      <w:rPr>
        <w:sz w:val="20"/>
      </w:rPr>
      <w:t>271.1</w:t>
    </w:r>
    <w:r w:rsidR="00B21B81" w:rsidRPr="00C203BD">
      <w:rPr>
        <w:sz w:val="20"/>
      </w:rPr>
      <w:t>.</w:t>
    </w:r>
    <w:r w:rsidR="00C203BD" w:rsidRPr="00C203BD">
      <w:rPr>
        <w:sz w:val="20"/>
      </w:rPr>
      <w:t>3</w:t>
    </w:r>
    <w:r w:rsidR="00471E2C">
      <w:rPr>
        <w:sz w:val="20"/>
      </w:rPr>
      <w:t>8</w:t>
    </w:r>
    <w:r w:rsidR="00B32342">
      <w:rPr>
        <w:sz w:val="20"/>
      </w:rPr>
      <w:t>.</w:t>
    </w:r>
    <w:r w:rsidR="002223BC">
      <w:rPr>
        <w:sz w:val="20"/>
      </w:rPr>
      <w:t>2015</w:t>
    </w:r>
  </w:p>
  <w:p w:rsidR="003066AD" w:rsidRDefault="003066AD">
    <w:pPr>
      <w:jc w:val="right"/>
      <w:rPr>
        <w:sz w:val="20"/>
      </w:rPr>
    </w:pPr>
    <w:r>
      <w:rPr>
        <w:sz w:val="20"/>
      </w:rPr>
      <w:t>Załącznik nr 1 do umowy nr ..................................</w:t>
    </w:r>
  </w:p>
  <w:p w:rsidR="003066AD" w:rsidRDefault="003066AD">
    <w:pPr>
      <w:pStyle w:val="Nagwek"/>
      <w:jc w:val="right"/>
    </w:pPr>
    <w:r>
      <w:rPr>
        <w:sz w:val="20"/>
      </w:rPr>
      <w:t>z dnia .......</w:t>
    </w:r>
    <w:r w:rsidR="002223BC">
      <w:rPr>
        <w:sz w:val="20"/>
      </w:rPr>
      <w:t>........................... 2015</w:t>
    </w:r>
    <w:r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3A4390"/>
    <w:lvl w:ilvl="0">
      <w:numFmt w:val="decimal"/>
      <w:lvlText w:val="*"/>
      <w:lvlJc w:val="left"/>
    </w:lvl>
  </w:abstractNum>
  <w:abstractNum w:abstractNumId="1">
    <w:nsid w:val="01572092"/>
    <w:multiLevelType w:val="multilevel"/>
    <w:tmpl w:val="8AD44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65D5D3F"/>
    <w:multiLevelType w:val="singleLevel"/>
    <w:tmpl w:val="F294A240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hint="default"/>
      </w:rPr>
    </w:lvl>
  </w:abstractNum>
  <w:abstractNum w:abstractNumId="3">
    <w:nsid w:val="0FD3414A"/>
    <w:multiLevelType w:val="hybridMultilevel"/>
    <w:tmpl w:val="283E3220"/>
    <w:lvl w:ilvl="0" w:tplc="E4DA193A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B6625"/>
    <w:multiLevelType w:val="multilevel"/>
    <w:tmpl w:val="C64A8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AB71C3C"/>
    <w:multiLevelType w:val="hybridMultilevel"/>
    <w:tmpl w:val="DA22C8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E44C8C"/>
    <w:multiLevelType w:val="hybridMultilevel"/>
    <w:tmpl w:val="79343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677DB"/>
    <w:multiLevelType w:val="hybridMultilevel"/>
    <w:tmpl w:val="9FB2135C"/>
    <w:lvl w:ilvl="0" w:tplc="CAE41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C65FD5"/>
    <w:multiLevelType w:val="hybridMultilevel"/>
    <w:tmpl w:val="68D4211E"/>
    <w:lvl w:ilvl="0" w:tplc="EEC22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C771D"/>
    <w:multiLevelType w:val="hybridMultilevel"/>
    <w:tmpl w:val="2EC6B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C5D6D"/>
    <w:multiLevelType w:val="hybridMultilevel"/>
    <w:tmpl w:val="5AB4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E051C"/>
    <w:multiLevelType w:val="hybridMultilevel"/>
    <w:tmpl w:val="1C9E5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E2A91"/>
    <w:multiLevelType w:val="multilevel"/>
    <w:tmpl w:val="8C6E0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B46ED"/>
    <w:multiLevelType w:val="hybridMultilevel"/>
    <w:tmpl w:val="3C42FF70"/>
    <w:lvl w:ilvl="0" w:tplc="D2049C8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47F19"/>
    <w:multiLevelType w:val="singleLevel"/>
    <w:tmpl w:val="6BC00EF2"/>
    <w:lvl w:ilvl="0">
      <w:start w:val="1"/>
      <w:numFmt w:val="decimal"/>
      <w:lvlText w:val="%1"/>
      <w:legacy w:legacy="1" w:legacySpace="0" w:legacyIndent="166"/>
      <w:lvlJc w:val="left"/>
      <w:rPr>
        <w:rFonts w:ascii="Arial" w:hAnsi="Arial" w:hint="default"/>
      </w:rPr>
    </w:lvl>
  </w:abstractNum>
  <w:abstractNum w:abstractNumId="15">
    <w:nsid w:val="5E287218"/>
    <w:multiLevelType w:val="hybridMultilevel"/>
    <w:tmpl w:val="DD1050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0A2C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21CB4"/>
    <w:multiLevelType w:val="multilevel"/>
    <w:tmpl w:val="B844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9E3671B"/>
    <w:multiLevelType w:val="singleLevel"/>
    <w:tmpl w:val="66C88300"/>
    <w:lvl w:ilvl="0">
      <w:start w:val="3"/>
      <w:numFmt w:val="decimal"/>
      <w:lvlText w:val="%1"/>
      <w:legacy w:legacy="1" w:legacySpace="0" w:legacyIndent="166"/>
      <w:lvlJc w:val="left"/>
      <w:rPr>
        <w:rFonts w:ascii="Arial" w:hAnsi="Arial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hint="default"/>
        </w:rPr>
      </w:lvl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2"/>
    <w:lvlOverride w:ilvl="0">
      <w:lvl w:ilvl="0">
        <w:start w:val="1"/>
        <w:numFmt w:val="lowerLetter"/>
        <w:lvlText w:val="%1)"/>
        <w:legacy w:legacy="1" w:legacySpace="0" w:legacyIndent="349"/>
        <w:lvlJc w:val="left"/>
        <w:rPr>
          <w:rFonts w:ascii="Arial" w:hAnsi="Arial" w:hint="default"/>
        </w:rPr>
      </w:lvl>
    </w:lvlOverride>
  </w:num>
  <w:num w:numId="9">
    <w:abstractNumId w:val="13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02"/>
    <w:rsid w:val="00001A63"/>
    <w:rsid w:val="000032D5"/>
    <w:rsid w:val="00003CFD"/>
    <w:rsid w:val="000044BF"/>
    <w:rsid w:val="00017C86"/>
    <w:rsid w:val="00032E1A"/>
    <w:rsid w:val="00040C26"/>
    <w:rsid w:val="000549F4"/>
    <w:rsid w:val="0005787A"/>
    <w:rsid w:val="000631CF"/>
    <w:rsid w:val="000676CE"/>
    <w:rsid w:val="00084BF8"/>
    <w:rsid w:val="00093D9B"/>
    <w:rsid w:val="000A5A51"/>
    <w:rsid w:val="000B1522"/>
    <w:rsid w:val="000B1D74"/>
    <w:rsid w:val="000B2EDF"/>
    <w:rsid w:val="000B5731"/>
    <w:rsid w:val="000D4B1C"/>
    <w:rsid w:val="000E0D27"/>
    <w:rsid w:val="000E1510"/>
    <w:rsid w:val="000E499A"/>
    <w:rsid w:val="000E5ECF"/>
    <w:rsid w:val="000F0267"/>
    <w:rsid w:val="000F4CB0"/>
    <w:rsid w:val="0010629D"/>
    <w:rsid w:val="00111C89"/>
    <w:rsid w:val="001123AD"/>
    <w:rsid w:val="00114014"/>
    <w:rsid w:val="00115845"/>
    <w:rsid w:val="001238E6"/>
    <w:rsid w:val="00133C75"/>
    <w:rsid w:val="00133CEC"/>
    <w:rsid w:val="001352E8"/>
    <w:rsid w:val="001513A2"/>
    <w:rsid w:val="0015154D"/>
    <w:rsid w:val="0015278B"/>
    <w:rsid w:val="00162921"/>
    <w:rsid w:val="00163379"/>
    <w:rsid w:val="00164A28"/>
    <w:rsid w:val="00175102"/>
    <w:rsid w:val="0019088A"/>
    <w:rsid w:val="001A2092"/>
    <w:rsid w:val="001C3308"/>
    <w:rsid w:val="001D5545"/>
    <w:rsid w:val="001E095F"/>
    <w:rsid w:val="001E48F7"/>
    <w:rsid w:val="001E5CFB"/>
    <w:rsid w:val="001E7592"/>
    <w:rsid w:val="00201E54"/>
    <w:rsid w:val="002223BC"/>
    <w:rsid w:val="0022666C"/>
    <w:rsid w:val="00234D8B"/>
    <w:rsid w:val="002351C3"/>
    <w:rsid w:val="00244BAA"/>
    <w:rsid w:val="00264D96"/>
    <w:rsid w:val="00270274"/>
    <w:rsid w:val="002828F7"/>
    <w:rsid w:val="002974BE"/>
    <w:rsid w:val="002A4F35"/>
    <w:rsid w:val="002B5FF2"/>
    <w:rsid w:val="002B6F21"/>
    <w:rsid w:val="002B74A2"/>
    <w:rsid w:val="002E13CC"/>
    <w:rsid w:val="002E5E88"/>
    <w:rsid w:val="002F7DE5"/>
    <w:rsid w:val="003066AD"/>
    <w:rsid w:val="0030741B"/>
    <w:rsid w:val="00320D8A"/>
    <w:rsid w:val="003247ED"/>
    <w:rsid w:val="00327090"/>
    <w:rsid w:val="00331588"/>
    <w:rsid w:val="00331F0A"/>
    <w:rsid w:val="0033511D"/>
    <w:rsid w:val="00350C20"/>
    <w:rsid w:val="0035559C"/>
    <w:rsid w:val="00357FE1"/>
    <w:rsid w:val="003662EB"/>
    <w:rsid w:val="00372B8C"/>
    <w:rsid w:val="00377AF5"/>
    <w:rsid w:val="00380AD3"/>
    <w:rsid w:val="0039593B"/>
    <w:rsid w:val="003962ED"/>
    <w:rsid w:val="00397C60"/>
    <w:rsid w:val="003B258D"/>
    <w:rsid w:val="003B6239"/>
    <w:rsid w:val="003B7713"/>
    <w:rsid w:val="003B79A6"/>
    <w:rsid w:val="003C28B0"/>
    <w:rsid w:val="003E2019"/>
    <w:rsid w:val="003E49E7"/>
    <w:rsid w:val="003E7AF7"/>
    <w:rsid w:val="004022FD"/>
    <w:rsid w:val="00403340"/>
    <w:rsid w:val="00404EB3"/>
    <w:rsid w:val="004239AA"/>
    <w:rsid w:val="0042728F"/>
    <w:rsid w:val="004276D1"/>
    <w:rsid w:val="004304B1"/>
    <w:rsid w:val="004322CC"/>
    <w:rsid w:val="00434E2A"/>
    <w:rsid w:val="004365E8"/>
    <w:rsid w:val="00437B61"/>
    <w:rsid w:val="004433C9"/>
    <w:rsid w:val="00443A8B"/>
    <w:rsid w:val="00455CC9"/>
    <w:rsid w:val="00467EF3"/>
    <w:rsid w:val="00471E2C"/>
    <w:rsid w:val="00473E3A"/>
    <w:rsid w:val="00482C9A"/>
    <w:rsid w:val="004961E9"/>
    <w:rsid w:val="004A1C10"/>
    <w:rsid w:val="004A6A43"/>
    <w:rsid w:val="004B3187"/>
    <w:rsid w:val="004C5443"/>
    <w:rsid w:val="004D1EA7"/>
    <w:rsid w:val="004D7AA5"/>
    <w:rsid w:val="00504F31"/>
    <w:rsid w:val="00506414"/>
    <w:rsid w:val="00525869"/>
    <w:rsid w:val="00530810"/>
    <w:rsid w:val="00536053"/>
    <w:rsid w:val="005432D6"/>
    <w:rsid w:val="00550AD5"/>
    <w:rsid w:val="00551EA8"/>
    <w:rsid w:val="005608DA"/>
    <w:rsid w:val="005627B1"/>
    <w:rsid w:val="00566FA3"/>
    <w:rsid w:val="005673C0"/>
    <w:rsid w:val="00567E29"/>
    <w:rsid w:val="00581A3E"/>
    <w:rsid w:val="00581DAE"/>
    <w:rsid w:val="00582673"/>
    <w:rsid w:val="00582D65"/>
    <w:rsid w:val="00595C73"/>
    <w:rsid w:val="005A2A0A"/>
    <w:rsid w:val="005A32FF"/>
    <w:rsid w:val="005A5225"/>
    <w:rsid w:val="005B20F6"/>
    <w:rsid w:val="005B6021"/>
    <w:rsid w:val="005B6556"/>
    <w:rsid w:val="005C1E16"/>
    <w:rsid w:val="00607C6D"/>
    <w:rsid w:val="0061272F"/>
    <w:rsid w:val="0061682D"/>
    <w:rsid w:val="006170D3"/>
    <w:rsid w:val="00617EFD"/>
    <w:rsid w:val="00625590"/>
    <w:rsid w:val="0062696A"/>
    <w:rsid w:val="00643F95"/>
    <w:rsid w:val="006519CE"/>
    <w:rsid w:val="006570A4"/>
    <w:rsid w:val="00660D46"/>
    <w:rsid w:val="00662ABA"/>
    <w:rsid w:val="00663DEE"/>
    <w:rsid w:val="00663F80"/>
    <w:rsid w:val="006733A8"/>
    <w:rsid w:val="006827A2"/>
    <w:rsid w:val="00687A21"/>
    <w:rsid w:val="00687E1D"/>
    <w:rsid w:val="006927DF"/>
    <w:rsid w:val="006937F2"/>
    <w:rsid w:val="00695F58"/>
    <w:rsid w:val="00696C13"/>
    <w:rsid w:val="00697711"/>
    <w:rsid w:val="006A17FC"/>
    <w:rsid w:val="006A4175"/>
    <w:rsid w:val="006B04C6"/>
    <w:rsid w:val="006B3D47"/>
    <w:rsid w:val="006B4A6B"/>
    <w:rsid w:val="006C11B3"/>
    <w:rsid w:val="006C31DA"/>
    <w:rsid w:val="006C51A8"/>
    <w:rsid w:val="006C797D"/>
    <w:rsid w:val="006C7A1C"/>
    <w:rsid w:val="006E39C5"/>
    <w:rsid w:val="006E3E3A"/>
    <w:rsid w:val="006E4D14"/>
    <w:rsid w:val="006E540D"/>
    <w:rsid w:val="006E589A"/>
    <w:rsid w:val="006F110F"/>
    <w:rsid w:val="006F123A"/>
    <w:rsid w:val="006F5045"/>
    <w:rsid w:val="007005C9"/>
    <w:rsid w:val="00702CBC"/>
    <w:rsid w:val="00716265"/>
    <w:rsid w:val="007230AF"/>
    <w:rsid w:val="00723470"/>
    <w:rsid w:val="0072439F"/>
    <w:rsid w:val="00726502"/>
    <w:rsid w:val="00730B9F"/>
    <w:rsid w:val="00735070"/>
    <w:rsid w:val="00740588"/>
    <w:rsid w:val="007503E2"/>
    <w:rsid w:val="00756B37"/>
    <w:rsid w:val="00761BC3"/>
    <w:rsid w:val="00765857"/>
    <w:rsid w:val="00770127"/>
    <w:rsid w:val="007710DF"/>
    <w:rsid w:val="00781C3A"/>
    <w:rsid w:val="00783347"/>
    <w:rsid w:val="00784A7C"/>
    <w:rsid w:val="00786FE0"/>
    <w:rsid w:val="007920BE"/>
    <w:rsid w:val="007A2737"/>
    <w:rsid w:val="007B2CCF"/>
    <w:rsid w:val="007C2F59"/>
    <w:rsid w:val="007C766A"/>
    <w:rsid w:val="007C78C4"/>
    <w:rsid w:val="007E4A7C"/>
    <w:rsid w:val="007E7E4E"/>
    <w:rsid w:val="008038BA"/>
    <w:rsid w:val="008057EE"/>
    <w:rsid w:val="0081126B"/>
    <w:rsid w:val="00814820"/>
    <w:rsid w:val="0082115C"/>
    <w:rsid w:val="00827E6A"/>
    <w:rsid w:val="00832570"/>
    <w:rsid w:val="00832DFE"/>
    <w:rsid w:val="008331F8"/>
    <w:rsid w:val="00845000"/>
    <w:rsid w:val="00846705"/>
    <w:rsid w:val="0085335B"/>
    <w:rsid w:val="00864FFC"/>
    <w:rsid w:val="00871EF6"/>
    <w:rsid w:val="00877CCC"/>
    <w:rsid w:val="0088364C"/>
    <w:rsid w:val="00885D84"/>
    <w:rsid w:val="00890D2C"/>
    <w:rsid w:val="008B20A0"/>
    <w:rsid w:val="008B2CB3"/>
    <w:rsid w:val="008B3296"/>
    <w:rsid w:val="008C5941"/>
    <w:rsid w:val="008D6BA3"/>
    <w:rsid w:val="008E037F"/>
    <w:rsid w:val="008F3AAD"/>
    <w:rsid w:val="00910550"/>
    <w:rsid w:val="00914062"/>
    <w:rsid w:val="00920DA1"/>
    <w:rsid w:val="009321F9"/>
    <w:rsid w:val="009435C4"/>
    <w:rsid w:val="00946208"/>
    <w:rsid w:val="00946B73"/>
    <w:rsid w:val="00950CFE"/>
    <w:rsid w:val="00985748"/>
    <w:rsid w:val="00986E77"/>
    <w:rsid w:val="009A3D94"/>
    <w:rsid w:val="009B27E8"/>
    <w:rsid w:val="009B2A2F"/>
    <w:rsid w:val="009C57B7"/>
    <w:rsid w:val="009D6F78"/>
    <w:rsid w:val="009D7A4C"/>
    <w:rsid w:val="009E280B"/>
    <w:rsid w:val="009E4088"/>
    <w:rsid w:val="009E5D92"/>
    <w:rsid w:val="009F10C3"/>
    <w:rsid w:val="009F33E5"/>
    <w:rsid w:val="00A14D96"/>
    <w:rsid w:val="00A3110E"/>
    <w:rsid w:val="00A35183"/>
    <w:rsid w:val="00A450AA"/>
    <w:rsid w:val="00A53F41"/>
    <w:rsid w:val="00A56A6F"/>
    <w:rsid w:val="00A574F9"/>
    <w:rsid w:val="00A612C1"/>
    <w:rsid w:val="00A62004"/>
    <w:rsid w:val="00A6417A"/>
    <w:rsid w:val="00A736C8"/>
    <w:rsid w:val="00A7607A"/>
    <w:rsid w:val="00A85E92"/>
    <w:rsid w:val="00A91A85"/>
    <w:rsid w:val="00A96901"/>
    <w:rsid w:val="00AB464C"/>
    <w:rsid w:val="00AC0380"/>
    <w:rsid w:val="00AC55F1"/>
    <w:rsid w:val="00AD6CF0"/>
    <w:rsid w:val="00AE1C89"/>
    <w:rsid w:val="00AE48C8"/>
    <w:rsid w:val="00AF505D"/>
    <w:rsid w:val="00AF5F2A"/>
    <w:rsid w:val="00B1010B"/>
    <w:rsid w:val="00B10214"/>
    <w:rsid w:val="00B1115C"/>
    <w:rsid w:val="00B11DCF"/>
    <w:rsid w:val="00B17900"/>
    <w:rsid w:val="00B21B81"/>
    <w:rsid w:val="00B22854"/>
    <w:rsid w:val="00B32342"/>
    <w:rsid w:val="00B36DE5"/>
    <w:rsid w:val="00B43A2A"/>
    <w:rsid w:val="00B44063"/>
    <w:rsid w:val="00B468EC"/>
    <w:rsid w:val="00B47A3A"/>
    <w:rsid w:val="00B57EAF"/>
    <w:rsid w:val="00B63EC5"/>
    <w:rsid w:val="00B66DFE"/>
    <w:rsid w:val="00B72F48"/>
    <w:rsid w:val="00B73707"/>
    <w:rsid w:val="00B73D6D"/>
    <w:rsid w:val="00B74BD3"/>
    <w:rsid w:val="00B74C10"/>
    <w:rsid w:val="00B82E82"/>
    <w:rsid w:val="00B8332D"/>
    <w:rsid w:val="00BA14E6"/>
    <w:rsid w:val="00BA2FAA"/>
    <w:rsid w:val="00BB7EAF"/>
    <w:rsid w:val="00BC33E6"/>
    <w:rsid w:val="00BC3E9D"/>
    <w:rsid w:val="00BC6E70"/>
    <w:rsid w:val="00BD03BD"/>
    <w:rsid w:val="00BD7A15"/>
    <w:rsid w:val="00BF28EA"/>
    <w:rsid w:val="00C0288D"/>
    <w:rsid w:val="00C203BD"/>
    <w:rsid w:val="00C2303B"/>
    <w:rsid w:val="00C273ED"/>
    <w:rsid w:val="00C310CB"/>
    <w:rsid w:val="00C362F6"/>
    <w:rsid w:val="00C436F8"/>
    <w:rsid w:val="00C4549F"/>
    <w:rsid w:val="00C4737D"/>
    <w:rsid w:val="00C512F1"/>
    <w:rsid w:val="00C51A09"/>
    <w:rsid w:val="00C5681E"/>
    <w:rsid w:val="00C631A3"/>
    <w:rsid w:val="00C7374C"/>
    <w:rsid w:val="00C74DA4"/>
    <w:rsid w:val="00C80B19"/>
    <w:rsid w:val="00C85534"/>
    <w:rsid w:val="00C85A2F"/>
    <w:rsid w:val="00CA2749"/>
    <w:rsid w:val="00CA733C"/>
    <w:rsid w:val="00CB1B13"/>
    <w:rsid w:val="00CC36BF"/>
    <w:rsid w:val="00CF137F"/>
    <w:rsid w:val="00CF715B"/>
    <w:rsid w:val="00D05989"/>
    <w:rsid w:val="00D11551"/>
    <w:rsid w:val="00D12578"/>
    <w:rsid w:val="00D133DD"/>
    <w:rsid w:val="00D1380E"/>
    <w:rsid w:val="00D229EC"/>
    <w:rsid w:val="00D26745"/>
    <w:rsid w:val="00D318F7"/>
    <w:rsid w:val="00D331B2"/>
    <w:rsid w:val="00D51449"/>
    <w:rsid w:val="00D548AE"/>
    <w:rsid w:val="00D560EA"/>
    <w:rsid w:val="00D561EB"/>
    <w:rsid w:val="00D56932"/>
    <w:rsid w:val="00D60B8E"/>
    <w:rsid w:val="00D61DA0"/>
    <w:rsid w:val="00D8338F"/>
    <w:rsid w:val="00D93CF7"/>
    <w:rsid w:val="00DA1981"/>
    <w:rsid w:val="00DA2174"/>
    <w:rsid w:val="00DA3F5F"/>
    <w:rsid w:val="00DA5156"/>
    <w:rsid w:val="00DA63F3"/>
    <w:rsid w:val="00DA679C"/>
    <w:rsid w:val="00DB3AF4"/>
    <w:rsid w:val="00DB4FA6"/>
    <w:rsid w:val="00DB6CC2"/>
    <w:rsid w:val="00DC393B"/>
    <w:rsid w:val="00DC5881"/>
    <w:rsid w:val="00DC6CF8"/>
    <w:rsid w:val="00DD1E7F"/>
    <w:rsid w:val="00DD763C"/>
    <w:rsid w:val="00DF05F8"/>
    <w:rsid w:val="00DF5FCC"/>
    <w:rsid w:val="00E01766"/>
    <w:rsid w:val="00E22E4A"/>
    <w:rsid w:val="00E328B6"/>
    <w:rsid w:val="00E335BD"/>
    <w:rsid w:val="00E348F4"/>
    <w:rsid w:val="00E37CD8"/>
    <w:rsid w:val="00E5691B"/>
    <w:rsid w:val="00E60530"/>
    <w:rsid w:val="00E60F9A"/>
    <w:rsid w:val="00E6126C"/>
    <w:rsid w:val="00E624BC"/>
    <w:rsid w:val="00E66874"/>
    <w:rsid w:val="00E71B5B"/>
    <w:rsid w:val="00E72FCA"/>
    <w:rsid w:val="00E7784B"/>
    <w:rsid w:val="00E81B7D"/>
    <w:rsid w:val="00E83DBD"/>
    <w:rsid w:val="00EA1B69"/>
    <w:rsid w:val="00EC2E5F"/>
    <w:rsid w:val="00ED0853"/>
    <w:rsid w:val="00ED3059"/>
    <w:rsid w:val="00ED6560"/>
    <w:rsid w:val="00EF6ADF"/>
    <w:rsid w:val="00F0102A"/>
    <w:rsid w:val="00F044ED"/>
    <w:rsid w:val="00F06878"/>
    <w:rsid w:val="00F26B77"/>
    <w:rsid w:val="00F318FA"/>
    <w:rsid w:val="00F3299D"/>
    <w:rsid w:val="00F36453"/>
    <w:rsid w:val="00F365EF"/>
    <w:rsid w:val="00F519E5"/>
    <w:rsid w:val="00F57592"/>
    <w:rsid w:val="00F66410"/>
    <w:rsid w:val="00F67779"/>
    <w:rsid w:val="00F70BCF"/>
    <w:rsid w:val="00F71868"/>
    <w:rsid w:val="00F732A6"/>
    <w:rsid w:val="00F92CE2"/>
    <w:rsid w:val="00F93EA9"/>
    <w:rsid w:val="00FA1E3A"/>
    <w:rsid w:val="00FA5C87"/>
    <w:rsid w:val="00FB1352"/>
    <w:rsid w:val="00FB3B33"/>
    <w:rsid w:val="00FD359E"/>
    <w:rsid w:val="00FD5C11"/>
    <w:rsid w:val="00FF123B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C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E39C5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E39C5"/>
    <w:pPr>
      <w:jc w:val="center"/>
    </w:pPr>
    <w:rPr>
      <w:b/>
      <w:bCs/>
      <w:sz w:val="26"/>
    </w:rPr>
  </w:style>
  <w:style w:type="paragraph" w:styleId="Tekstpodstawowywcity">
    <w:name w:val="Body Text Indent"/>
    <w:basedOn w:val="Normalny"/>
    <w:semiHidden/>
    <w:rsid w:val="006E39C5"/>
    <w:pPr>
      <w:shd w:val="clear" w:color="auto" w:fill="FFFFFF"/>
      <w:ind w:left="40"/>
      <w:jc w:val="both"/>
    </w:pPr>
  </w:style>
  <w:style w:type="paragraph" w:styleId="Tekstpodstawowy2">
    <w:name w:val="Body Text 2"/>
    <w:basedOn w:val="Normalny"/>
    <w:semiHidden/>
    <w:rsid w:val="006E39C5"/>
    <w:pPr>
      <w:jc w:val="both"/>
    </w:pPr>
  </w:style>
  <w:style w:type="paragraph" w:styleId="Tekstblokowy">
    <w:name w:val="Block Text"/>
    <w:basedOn w:val="Normalny"/>
    <w:semiHidden/>
    <w:rsid w:val="006E39C5"/>
    <w:pPr>
      <w:shd w:val="clear" w:color="auto" w:fill="FFFFFF"/>
      <w:ind w:left="720" w:right="22" w:hanging="360"/>
      <w:jc w:val="both"/>
    </w:pPr>
  </w:style>
  <w:style w:type="paragraph" w:styleId="Tekstpodstawowywcity2">
    <w:name w:val="Body Text Indent 2"/>
    <w:basedOn w:val="Normalny"/>
    <w:semiHidden/>
    <w:rsid w:val="006E39C5"/>
    <w:pPr>
      <w:shd w:val="clear" w:color="auto" w:fill="FFFFFF"/>
      <w:ind w:right="25" w:firstLine="360"/>
      <w:jc w:val="both"/>
    </w:pPr>
  </w:style>
  <w:style w:type="paragraph" w:styleId="Tekstpodstawowy3">
    <w:name w:val="Body Text 3"/>
    <w:basedOn w:val="Normalny"/>
    <w:semiHidden/>
    <w:rsid w:val="006E39C5"/>
    <w:pPr>
      <w:shd w:val="clear" w:color="auto" w:fill="FFFFFF"/>
      <w:tabs>
        <w:tab w:val="left" w:pos="173"/>
      </w:tabs>
      <w:ind w:right="22"/>
      <w:jc w:val="both"/>
    </w:pPr>
  </w:style>
  <w:style w:type="paragraph" w:styleId="Tekstpodstawowywcity3">
    <w:name w:val="Body Text Indent 3"/>
    <w:basedOn w:val="Normalny"/>
    <w:semiHidden/>
    <w:rsid w:val="006E39C5"/>
    <w:pPr>
      <w:shd w:val="clear" w:color="auto" w:fill="FFFFFF"/>
      <w:ind w:left="360" w:hanging="360"/>
      <w:jc w:val="both"/>
    </w:pPr>
  </w:style>
  <w:style w:type="paragraph" w:styleId="Nagwek">
    <w:name w:val="header"/>
    <w:basedOn w:val="Normalny"/>
    <w:semiHidden/>
    <w:rsid w:val="006E39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E39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E39C5"/>
  </w:style>
  <w:style w:type="paragraph" w:styleId="NormalnyWeb">
    <w:name w:val="Normal (Web)"/>
    <w:basedOn w:val="Normalny"/>
    <w:uiPriority w:val="99"/>
    <w:semiHidden/>
    <w:rsid w:val="006E39C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50AD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6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ytu2">
    <w:name w:val="Tytuł2"/>
    <w:basedOn w:val="Normalny"/>
    <w:link w:val="TytuChar"/>
    <w:rsid w:val="00DA679C"/>
    <w:pPr>
      <w:tabs>
        <w:tab w:val="left" w:pos="2880"/>
      </w:tabs>
      <w:spacing w:before="120" w:after="60"/>
      <w:ind w:left="2880"/>
      <w:jc w:val="both"/>
    </w:pPr>
    <w:rPr>
      <w:rFonts w:ascii="Arial" w:eastAsia="SimSun" w:hAnsi="Arial"/>
      <w:b/>
      <w:sz w:val="52"/>
      <w:szCs w:val="40"/>
      <w:lang w:eastAsia="zh-CN"/>
    </w:rPr>
  </w:style>
  <w:style w:type="character" w:customStyle="1" w:styleId="TytuChar">
    <w:name w:val="Tytuł Char"/>
    <w:link w:val="Tytu2"/>
    <w:rsid w:val="00DA679C"/>
    <w:rPr>
      <w:rFonts w:ascii="Arial" w:eastAsia="SimSun" w:hAnsi="Arial"/>
      <w:b/>
      <w:sz w:val="52"/>
      <w:szCs w:val="40"/>
      <w:lang w:eastAsia="zh-CN"/>
    </w:rPr>
  </w:style>
  <w:style w:type="paragraph" w:customStyle="1" w:styleId="StyleTimesNewRoman12ptBefore6ptAfter3ptLinespa2">
    <w:name w:val="Style Times New Roman 12 pt Before:  6 pt After:  3 pt Line spa...2"/>
    <w:basedOn w:val="Normalny"/>
    <w:rsid w:val="00DA679C"/>
    <w:pPr>
      <w:spacing w:before="120" w:after="60"/>
      <w:jc w:val="both"/>
    </w:pPr>
    <w:rPr>
      <w:rFonts w:eastAsia="SimSun"/>
      <w:sz w:val="22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8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9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97D"/>
  </w:style>
  <w:style w:type="character" w:styleId="Odwoanieprzypisukocowego">
    <w:name w:val="endnote reference"/>
    <w:basedOn w:val="Domylnaczcionkaakapitu"/>
    <w:uiPriority w:val="99"/>
    <w:semiHidden/>
    <w:unhideWhenUsed/>
    <w:rsid w:val="006C79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690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36C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36C8"/>
    <w:rPr>
      <w:rFonts w:ascii="Calibri" w:eastAsia="Calibri" w:hAnsi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C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E39C5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E39C5"/>
    <w:pPr>
      <w:jc w:val="center"/>
    </w:pPr>
    <w:rPr>
      <w:b/>
      <w:bCs/>
      <w:sz w:val="26"/>
    </w:rPr>
  </w:style>
  <w:style w:type="paragraph" w:styleId="Tekstpodstawowywcity">
    <w:name w:val="Body Text Indent"/>
    <w:basedOn w:val="Normalny"/>
    <w:semiHidden/>
    <w:rsid w:val="006E39C5"/>
    <w:pPr>
      <w:shd w:val="clear" w:color="auto" w:fill="FFFFFF"/>
      <w:ind w:left="40"/>
      <w:jc w:val="both"/>
    </w:pPr>
  </w:style>
  <w:style w:type="paragraph" w:styleId="Tekstpodstawowy2">
    <w:name w:val="Body Text 2"/>
    <w:basedOn w:val="Normalny"/>
    <w:semiHidden/>
    <w:rsid w:val="006E39C5"/>
    <w:pPr>
      <w:jc w:val="both"/>
    </w:pPr>
  </w:style>
  <w:style w:type="paragraph" w:styleId="Tekstblokowy">
    <w:name w:val="Block Text"/>
    <w:basedOn w:val="Normalny"/>
    <w:semiHidden/>
    <w:rsid w:val="006E39C5"/>
    <w:pPr>
      <w:shd w:val="clear" w:color="auto" w:fill="FFFFFF"/>
      <w:ind w:left="720" w:right="22" w:hanging="360"/>
      <w:jc w:val="both"/>
    </w:pPr>
  </w:style>
  <w:style w:type="paragraph" w:styleId="Tekstpodstawowywcity2">
    <w:name w:val="Body Text Indent 2"/>
    <w:basedOn w:val="Normalny"/>
    <w:semiHidden/>
    <w:rsid w:val="006E39C5"/>
    <w:pPr>
      <w:shd w:val="clear" w:color="auto" w:fill="FFFFFF"/>
      <w:ind w:right="25" w:firstLine="360"/>
      <w:jc w:val="both"/>
    </w:pPr>
  </w:style>
  <w:style w:type="paragraph" w:styleId="Tekstpodstawowy3">
    <w:name w:val="Body Text 3"/>
    <w:basedOn w:val="Normalny"/>
    <w:semiHidden/>
    <w:rsid w:val="006E39C5"/>
    <w:pPr>
      <w:shd w:val="clear" w:color="auto" w:fill="FFFFFF"/>
      <w:tabs>
        <w:tab w:val="left" w:pos="173"/>
      </w:tabs>
      <w:ind w:right="22"/>
      <w:jc w:val="both"/>
    </w:pPr>
  </w:style>
  <w:style w:type="paragraph" w:styleId="Tekstpodstawowywcity3">
    <w:name w:val="Body Text Indent 3"/>
    <w:basedOn w:val="Normalny"/>
    <w:semiHidden/>
    <w:rsid w:val="006E39C5"/>
    <w:pPr>
      <w:shd w:val="clear" w:color="auto" w:fill="FFFFFF"/>
      <w:ind w:left="360" w:hanging="360"/>
      <w:jc w:val="both"/>
    </w:pPr>
  </w:style>
  <w:style w:type="paragraph" w:styleId="Nagwek">
    <w:name w:val="header"/>
    <w:basedOn w:val="Normalny"/>
    <w:semiHidden/>
    <w:rsid w:val="006E39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E39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E39C5"/>
  </w:style>
  <w:style w:type="paragraph" w:styleId="NormalnyWeb">
    <w:name w:val="Normal (Web)"/>
    <w:basedOn w:val="Normalny"/>
    <w:uiPriority w:val="99"/>
    <w:semiHidden/>
    <w:rsid w:val="006E39C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50AD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6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ytu2">
    <w:name w:val="Tytuł2"/>
    <w:basedOn w:val="Normalny"/>
    <w:link w:val="TytuChar"/>
    <w:rsid w:val="00DA679C"/>
    <w:pPr>
      <w:tabs>
        <w:tab w:val="left" w:pos="2880"/>
      </w:tabs>
      <w:spacing w:before="120" w:after="60"/>
      <w:ind w:left="2880"/>
      <w:jc w:val="both"/>
    </w:pPr>
    <w:rPr>
      <w:rFonts w:ascii="Arial" w:eastAsia="SimSun" w:hAnsi="Arial"/>
      <w:b/>
      <w:sz w:val="52"/>
      <w:szCs w:val="40"/>
      <w:lang w:eastAsia="zh-CN"/>
    </w:rPr>
  </w:style>
  <w:style w:type="character" w:customStyle="1" w:styleId="TytuChar">
    <w:name w:val="Tytuł Char"/>
    <w:link w:val="Tytu2"/>
    <w:rsid w:val="00DA679C"/>
    <w:rPr>
      <w:rFonts w:ascii="Arial" w:eastAsia="SimSun" w:hAnsi="Arial"/>
      <w:b/>
      <w:sz w:val="52"/>
      <w:szCs w:val="40"/>
      <w:lang w:eastAsia="zh-CN"/>
    </w:rPr>
  </w:style>
  <w:style w:type="paragraph" w:customStyle="1" w:styleId="StyleTimesNewRoman12ptBefore6ptAfter3ptLinespa2">
    <w:name w:val="Style Times New Roman 12 pt Before:  6 pt After:  3 pt Line spa...2"/>
    <w:basedOn w:val="Normalny"/>
    <w:rsid w:val="00DA679C"/>
    <w:pPr>
      <w:spacing w:before="120" w:after="60"/>
      <w:jc w:val="both"/>
    </w:pPr>
    <w:rPr>
      <w:rFonts w:eastAsia="SimSun"/>
      <w:sz w:val="22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8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9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97D"/>
  </w:style>
  <w:style w:type="character" w:styleId="Odwoanieprzypisukocowego">
    <w:name w:val="endnote reference"/>
    <w:basedOn w:val="Domylnaczcionkaakapitu"/>
    <w:uiPriority w:val="99"/>
    <w:semiHidden/>
    <w:unhideWhenUsed/>
    <w:rsid w:val="006C79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690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36C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36C8"/>
    <w:rPr>
      <w:rFonts w:ascii="Calibri" w:eastAsia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80">
              <w:marLeft w:val="3045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A1EA-6B3F-4FBF-8EC2-505713B4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1942</Words>
  <Characters>13072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Właściciel</dc:creator>
  <cp:lastModifiedBy>bzajac</cp:lastModifiedBy>
  <cp:revision>2</cp:revision>
  <cp:lastPrinted>2015-12-22T10:31:00Z</cp:lastPrinted>
  <dcterms:created xsi:type="dcterms:W3CDTF">2015-12-22T10:32:00Z</dcterms:created>
  <dcterms:modified xsi:type="dcterms:W3CDTF">2015-12-22T10:32:00Z</dcterms:modified>
</cp:coreProperties>
</file>