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73" w:rsidRDefault="00E30F73" w:rsidP="00E30F73">
      <w:pPr>
        <w:jc w:val="both"/>
        <w:rPr>
          <w:sz w:val="24"/>
        </w:rPr>
      </w:pPr>
      <w:r>
        <w:rPr>
          <w:sz w:val="24"/>
        </w:rPr>
        <w:t>Znak sprawy: BGM.272.zp.</w:t>
      </w:r>
      <w:r w:rsidR="00D75B0B">
        <w:rPr>
          <w:sz w:val="24"/>
        </w:rPr>
        <w:t>6</w:t>
      </w:r>
      <w:r>
        <w:rPr>
          <w:sz w:val="24"/>
        </w:rPr>
        <w:t xml:space="preserve">.2015 </w:t>
      </w:r>
    </w:p>
    <w:p w:rsidR="00D75B0B" w:rsidRDefault="00D75B0B" w:rsidP="00E30F73">
      <w:pPr>
        <w:jc w:val="both"/>
        <w:rPr>
          <w:sz w:val="24"/>
        </w:rPr>
      </w:pPr>
    </w:p>
    <w:p w:rsidR="00D75B0B" w:rsidRDefault="00D75B0B" w:rsidP="00E30F73">
      <w:pPr>
        <w:jc w:val="both"/>
        <w:rPr>
          <w:sz w:val="24"/>
        </w:rPr>
      </w:pPr>
    </w:p>
    <w:p w:rsidR="00D75B0B" w:rsidRDefault="00D75B0B" w:rsidP="00E30F73">
      <w:pPr>
        <w:jc w:val="both"/>
        <w:rPr>
          <w:sz w:val="24"/>
        </w:rPr>
      </w:pPr>
    </w:p>
    <w:p w:rsidR="00D75B0B" w:rsidRPr="00D75B0B" w:rsidRDefault="00D75B0B" w:rsidP="00D75B0B">
      <w:pPr>
        <w:jc w:val="center"/>
        <w:rPr>
          <w:b/>
          <w:sz w:val="28"/>
          <w:szCs w:val="28"/>
        </w:rPr>
      </w:pPr>
      <w:r w:rsidRPr="00D75B0B">
        <w:rPr>
          <w:b/>
          <w:sz w:val="28"/>
          <w:szCs w:val="28"/>
        </w:rPr>
        <w:t>Warunki techniczne</w:t>
      </w:r>
    </w:p>
    <w:p w:rsidR="00E30F73" w:rsidRDefault="00E30F73" w:rsidP="00E30F73">
      <w:pPr>
        <w:ind w:left="720"/>
        <w:jc w:val="both"/>
        <w:rPr>
          <w:b/>
          <w:sz w:val="24"/>
        </w:rPr>
      </w:pPr>
    </w:p>
    <w:p w:rsidR="00E30F73" w:rsidRDefault="00E30F73" w:rsidP="00E30F73">
      <w:pPr>
        <w:ind w:left="720"/>
        <w:jc w:val="both"/>
        <w:rPr>
          <w:b/>
          <w:sz w:val="24"/>
        </w:rPr>
      </w:pPr>
    </w:p>
    <w:p w:rsidR="00E30F73" w:rsidRDefault="00E30F73" w:rsidP="00D75B0B">
      <w:pPr>
        <w:jc w:val="both"/>
        <w:rPr>
          <w:b/>
          <w:sz w:val="24"/>
        </w:rPr>
      </w:pPr>
    </w:p>
    <w:p w:rsidR="00E30F73" w:rsidRDefault="00E30F73" w:rsidP="00E30F73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Przedmiot i cel prac.</w:t>
      </w:r>
    </w:p>
    <w:p w:rsidR="00E30F73" w:rsidRDefault="00E30F73" w:rsidP="00E30F73">
      <w:pPr>
        <w:tabs>
          <w:tab w:val="left" w:pos="426"/>
          <w:tab w:val="right" w:pos="9072"/>
        </w:tabs>
        <w:spacing w:before="120" w:after="120"/>
        <w:jc w:val="both"/>
        <w:rPr>
          <w:sz w:val="24"/>
        </w:rPr>
      </w:pPr>
      <w:r>
        <w:rPr>
          <w:sz w:val="24"/>
        </w:rPr>
        <w:tab/>
        <w:t xml:space="preserve">  Przedmiotem prac jest aktualizacja bazy danych, prowadzonej w Systemie Informacji Przestrzennej </w:t>
      </w:r>
      <w:proofErr w:type="spellStart"/>
      <w:r>
        <w:rPr>
          <w:sz w:val="24"/>
        </w:rPr>
        <w:t>Geo-Info</w:t>
      </w:r>
      <w:proofErr w:type="spellEnd"/>
      <w:r>
        <w:rPr>
          <w:sz w:val="24"/>
        </w:rPr>
        <w:t xml:space="preserve"> wynikami powykonawczych inwentaryzacji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oraz zarządzającymi tymi sieciami, obejmującej miasto Świnoujście</w:t>
      </w:r>
      <w:r w:rsidR="00820701">
        <w:rPr>
          <w:sz w:val="24"/>
        </w:rPr>
        <w:t>.</w:t>
      </w:r>
      <w:r>
        <w:rPr>
          <w:sz w:val="24"/>
        </w:rPr>
        <w:t xml:space="preserve"> </w:t>
      </w:r>
    </w:p>
    <w:p w:rsidR="00E30F73" w:rsidRDefault="00E30F73" w:rsidP="00E30F73">
      <w:pPr>
        <w:tabs>
          <w:tab w:val="left" w:pos="426"/>
          <w:tab w:val="right" w:pos="9072"/>
        </w:tabs>
        <w:spacing w:before="120" w:after="120"/>
        <w:jc w:val="both"/>
        <w:rPr>
          <w:sz w:val="24"/>
        </w:rPr>
      </w:pPr>
      <w:r>
        <w:rPr>
          <w:sz w:val="24"/>
        </w:rPr>
        <w:t xml:space="preserve">Baza danych geodezyjnej </w:t>
      </w:r>
      <w:proofErr w:type="spellStart"/>
      <w:r>
        <w:rPr>
          <w:sz w:val="24"/>
        </w:rPr>
        <w:t>ewidencji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prowadzona jest w dalszym ciągu, w oparciu o rozporządzenie Ministra Rozwoju Regionalnego i Budownictwa z dnia 02 kwietnia 2001 r. w sprawie geodezyjnej </w:t>
      </w:r>
      <w:proofErr w:type="spellStart"/>
      <w:r>
        <w:rPr>
          <w:sz w:val="24"/>
        </w:rPr>
        <w:t>ewidencji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oraz zespołów uzgadniania dokumentacji projektowej. Przedmiotowe prace zostaną zrealizowane w tym samym standardzie. Prace związane z doprowadzeniem wszystkich danych geodezyjnej </w:t>
      </w:r>
      <w:proofErr w:type="spellStart"/>
      <w:r>
        <w:rPr>
          <w:sz w:val="24"/>
        </w:rPr>
        <w:t>ewidencji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do zgodności z nowym standardem zostaną wykonane  w ramach oddzielnego zamówienia. </w:t>
      </w:r>
    </w:p>
    <w:p w:rsidR="00E30F73" w:rsidRDefault="00E30F73" w:rsidP="00E30F73">
      <w:pPr>
        <w:jc w:val="both"/>
        <w:rPr>
          <w:sz w:val="24"/>
        </w:rPr>
      </w:pPr>
      <w:r>
        <w:rPr>
          <w:sz w:val="24"/>
        </w:rPr>
        <w:t xml:space="preserve">Przez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rozumie się wszelkiego rodzaju nadziemne, naziemne i podziemne przewody i urządzenia: wodociągowe, kanalizacyjne, gazowe, cieplne, telekomunikacyjne, elektroenergetyczne i inne, z wyłączeniem urządzeń melioracji szczegółowych, a także podziemne budowle, jak: tunele, przejścia, parkingi, zbiorniki itp. </w:t>
      </w:r>
    </w:p>
    <w:p w:rsidR="00E30F73" w:rsidRDefault="00E30F73" w:rsidP="00E30F73">
      <w:pPr>
        <w:jc w:val="both"/>
        <w:rPr>
          <w:sz w:val="24"/>
        </w:rPr>
      </w:pPr>
      <w:r>
        <w:rPr>
          <w:sz w:val="24"/>
        </w:rPr>
        <w:t xml:space="preserve">Przez geodezyjną ewidencję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rozumie się uporządkowany zbiór danych przestrzennych i opisowych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terenu, a także informacje o podmiotach </w:t>
      </w:r>
      <w:r w:rsidR="00D75B0B">
        <w:rPr>
          <w:sz w:val="24"/>
        </w:rPr>
        <w:t>zarządzających</w:t>
      </w:r>
      <w:r w:rsidR="00D75B0B" w:rsidRPr="00D75B0B">
        <w:rPr>
          <w:sz w:val="24"/>
        </w:rPr>
        <w:t xml:space="preserve"> </w:t>
      </w:r>
      <w:r w:rsidR="00D75B0B">
        <w:rPr>
          <w:sz w:val="24"/>
        </w:rPr>
        <w:t xml:space="preserve">(władających) </w:t>
      </w:r>
      <w:r>
        <w:rPr>
          <w:sz w:val="24"/>
        </w:rPr>
        <w:t xml:space="preserve"> </w:t>
      </w:r>
      <w:r w:rsidR="00D75B0B">
        <w:rPr>
          <w:sz w:val="24"/>
        </w:rPr>
        <w:t>tymi sieciami</w:t>
      </w:r>
      <w:r>
        <w:rPr>
          <w:sz w:val="24"/>
        </w:rPr>
        <w:t>.</w:t>
      </w:r>
    </w:p>
    <w:p w:rsidR="00E30F73" w:rsidRDefault="00E30F73" w:rsidP="00E30F73">
      <w:pPr>
        <w:ind w:left="360"/>
        <w:jc w:val="both"/>
        <w:rPr>
          <w:szCs w:val="20"/>
        </w:rPr>
      </w:pPr>
    </w:p>
    <w:p w:rsidR="00E30F73" w:rsidRDefault="00E30F73" w:rsidP="00D75B0B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Zakres rzeczowy opracowania geodezyjnej </w:t>
      </w:r>
      <w:proofErr w:type="spellStart"/>
      <w:r>
        <w:rPr>
          <w:b/>
          <w:sz w:val="24"/>
        </w:rPr>
        <w:t>ewidencji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sieci</w:t>
      </w:r>
      <w:proofErr w:type="spellEnd"/>
      <w:r>
        <w:rPr>
          <w:b/>
          <w:sz w:val="24"/>
        </w:rPr>
        <w:t xml:space="preserve"> uzbrojenia terenu.</w:t>
      </w:r>
    </w:p>
    <w:p w:rsidR="00D75B0B" w:rsidRPr="00D75B0B" w:rsidRDefault="00D75B0B" w:rsidP="00D75B0B">
      <w:pPr>
        <w:ind w:left="720"/>
        <w:jc w:val="both"/>
        <w:rPr>
          <w:b/>
          <w:sz w:val="24"/>
        </w:rPr>
      </w:pPr>
    </w:p>
    <w:p w:rsidR="00E30F73" w:rsidRDefault="00E30F73" w:rsidP="00E30F73">
      <w:pPr>
        <w:jc w:val="both"/>
        <w:rPr>
          <w:sz w:val="24"/>
        </w:rPr>
      </w:pPr>
      <w:r>
        <w:rPr>
          <w:sz w:val="24"/>
        </w:rPr>
        <w:t xml:space="preserve">W ramach czynności będących przedmiotem zamówienia należy wykonać aktualizację bazy danych wynikami powykonawczych inwentaryzacji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oraz zarządzającymi tymi sieciami. Prace te obejmują informacje przestrzenne oraz informacje opisowe</w:t>
      </w:r>
      <w:r w:rsidR="00D75B0B">
        <w:rPr>
          <w:sz w:val="24"/>
        </w:rPr>
        <w:t xml:space="preserve"> przedmiotowe </w:t>
      </w:r>
      <w:r>
        <w:rPr>
          <w:sz w:val="24"/>
        </w:rPr>
        <w:t xml:space="preserve"> o wszelkiego rodzaju obiektach  różnych  branż uzbrojenia terenu. Prace obejmują również informacje  o  podmiotach </w:t>
      </w:r>
      <w:r w:rsidR="00D75B0B">
        <w:rPr>
          <w:sz w:val="24"/>
        </w:rPr>
        <w:t>zarządzających (władających)</w:t>
      </w:r>
      <w:r>
        <w:rPr>
          <w:sz w:val="24"/>
        </w:rPr>
        <w:t xml:space="preserve"> sieciami uzbrojenia teren. </w:t>
      </w:r>
    </w:p>
    <w:p w:rsidR="00E30F73" w:rsidRDefault="00E30F73" w:rsidP="00E30F73">
      <w:pPr>
        <w:ind w:left="360"/>
        <w:jc w:val="both"/>
        <w:rPr>
          <w:b/>
          <w:sz w:val="24"/>
        </w:rPr>
      </w:pPr>
    </w:p>
    <w:p w:rsidR="00E30F73" w:rsidRDefault="00E30F73" w:rsidP="00E30F7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Wykaz operatów powiatowej części państwowego zasobu geodezyjnego i kartograficznego</w:t>
      </w:r>
      <w:r w:rsidR="006742A0">
        <w:rPr>
          <w:b/>
          <w:sz w:val="24"/>
        </w:rPr>
        <w:t>:</w:t>
      </w:r>
    </w:p>
    <w:p w:rsidR="00D75B0B" w:rsidRDefault="00D75B0B" w:rsidP="00D75B0B">
      <w:pPr>
        <w:ind w:left="720"/>
        <w:jc w:val="both"/>
        <w:rPr>
          <w:b/>
          <w:sz w:val="24"/>
        </w:rPr>
      </w:pP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328/2013,424/2013,187/2014,254/2014,264/2014,292/2014,299/2014,329/2014,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335/2014,336/2014,6642.343.2014,6642.377.2014,6642.455.2014,6642.475.2014,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6642.489.2015,6642.498.2014,6642.524.2014,6642.533.2014,6642.554.2014,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6642.564.2014,6642.593.2014,6642.594.2014,6642.601.2014,6642.610.2014,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6642.613.2014,6642.614.2014,6642.615.2014,6642.616.2014,6642.623.2014,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6642.626.2014,6642.631.2014,6642.660.2014,6642.661.2014,6642.666.2014,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6642.684.2014,6642.688.2014,6642.708.2014,6642.710.2014,6642.715.2014,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6642.716.2014,6642.718.2014,6642.722.2014,6642.725.2014,6642.746.2014,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6642.754.2014,6642.761.2014,6642.767.2014,6642.771.2014,6642.775.2014,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6642.1.2015,6642.3.2015,6642.4.2015,6642.5.2015,6642.7.2015,6642.22.2015,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lastRenderedPageBreak/>
        <w:t>6642.29.2015,6642.34.2015,6642.42.2015,6642.49.2015,6642.56.2015,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6642.62.2015,6642.73.2015,6642.74.2015,6642.76.2015,6642.80.2015,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6642.84.2015,6642.99.2015,6642.103.2015,6642.104.2015,6642.107.2015,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6642.112.2015,6642.113.2015,6642.133.2015,6642.135.2015,6642.150.2015,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6642.154.2015,6642.158.2015,6642.168.2015,6642.169.2015,6642.172.2015,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6642.182.2015,6642.183.2015,6642.193.2015,6642.198.2015,6642.217.2015,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6642.224.2015,6642.225.2015,6642.227.2015,6642.231.2015,6642.234.2015,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6642.238.2015,6642.247.2015,6642.256.2015,6642.263.2015,6642.264.2015,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6642.280.2015,6642.288.2015,6642.311.2015,6642.314.2015,6642.318.2015,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6642.116.2015,610/2012,161/2013,6642.70.2015,6642.83.2015,6642.197.2015,</w:t>
      </w:r>
    </w:p>
    <w:p w:rsidR="00701877" w:rsidRPr="00701877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6642.213.2015,6642.307.2015,6642.321.2015,6642.336.2015,6642.343.2015,</w:t>
      </w:r>
    </w:p>
    <w:p w:rsidR="001E2662" w:rsidRDefault="00701877" w:rsidP="00701877">
      <w:pPr>
        <w:jc w:val="both"/>
        <w:rPr>
          <w:sz w:val="24"/>
        </w:rPr>
      </w:pPr>
      <w:r w:rsidRPr="00701877">
        <w:rPr>
          <w:sz w:val="24"/>
        </w:rPr>
        <w:t>6642.344.2015,570/2013</w:t>
      </w:r>
      <w:r w:rsidR="00690E0F">
        <w:rPr>
          <w:sz w:val="24"/>
        </w:rPr>
        <w:t>,581/2000 (w zakresie obrębu 7 i10)</w:t>
      </w:r>
    </w:p>
    <w:p w:rsidR="00D75B0B" w:rsidRDefault="00D75B0B" w:rsidP="00701877">
      <w:pPr>
        <w:jc w:val="both"/>
        <w:rPr>
          <w:b/>
          <w:sz w:val="24"/>
        </w:rPr>
      </w:pPr>
    </w:p>
    <w:p w:rsidR="001E2662" w:rsidRDefault="001E2662" w:rsidP="001E2662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1E2662">
        <w:rPr>
          <w:b/>
          <w:sz w:val="24"/>
        </w:rPr>
        <w:t xml:space="preserve">Wykaz dokumentów zawierających informacje o zarządzających sieciami </w:t>
      </w:r>
      <w:r w:rsidR="00E77B2D">
        <w:rPr>
          <w:b/>
          <w:sz w:val="24"/>
        </w:rPr>
        <w:t>uzbrojenia terenu</w:t>
      </w:r>
    </w:p>
    <w:p w:rsidR="00465395" w:rsidRPr="00465395" w:rsidRDefault="00465395" w:rsidP="00465395">
      <w:pPr>
        <w:ind w:left="360"/>
        <w:jc w:val="both"/>
        <w:rPr>
          <w:b/>
          <w:sz w:val="24"/>
        </w:rPr>
      </w:pPr>
      <w:r>
        <w:rPr>
          <w:b/>
          <w:sz w:val="24"/>
        </w:rPr>
        <w:t>4.1. Przewody główne i przyłącza</w:t>
      </w:r>
      <w:r w:rsidR="00D75B0B">
        <w:rPr>
          <w:b/>
          <w:sz w:val="24"/>
        </w:rPr>
        <w:t>, które</w:t>
      </w:r>
      <w:r>
        <w:rPr>
          <w:b/>
          <w:sz w:val="24"/>
        </w:rPr>
        <w:t xml:space="preserve"> znajdują się w bazie danych</w:t>
      </w:r>
    </w:p>
    <w:p w:rsidR="00BF0BA2" w:rsidRPr="00E77B2D" w:rsidRDefault="00BF0BA2" w:rsidP="00BF0BA2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>Zakład Wodociągów i Kanalizacji Sp. z o.o.</w:t>
      </w:r>
      <w:r w:rsidR="00690E0F">
        <w:rPr>
          <w:sz w:val="24"/>
        </w:rPr>
        <w:t xml:space="preserve"> w Świnoujściu</w:t>
      </w:r>
      <w:r>
        <w:rPr>
          <w:sz w:val="24"/>
        </w:rPr>
        <w:t xml:space="preserve">  – zestawi</w:t>
      </w:r>
      <w:r w:rsidR="00465395">
        <w:rPr>
          <w:sz w:val="24"/>
        </w:rPr>
        <w:t xml:space="preserve">enie </w:t>
      </w:r>
      <w:proofErr w:type="spellStart"/>
      <w:r w:rsidR="00465395">
        <w:rPr>
          <w:sz w:val="24"/>
        </w:rPr>
        <w:t>sieci</w:t>
      </w:r>
      <w:proofErr w:type="spellEnd"/>
      <w:r w:rsidR="00465395">
        <w:rPr>
          <w:sz w:val="24"/>
        </w:rPr>
        <w:t xml:space="preserve"> wodno-kanalizacyjnej, </w:t>
      </w:r>
      <w:r w:rsidR="00E77B2D">
        <w:rPr>
          <w:sz w:val="24"/>
        </w:rPr>
        <w:t>pozycji 915,</w:t>
      </w:r>
    </w:p>
    <w:p w:rsidR="00701877" w:rsidRPr="00701877" w:rsidRDefault="00E77B2D" w:rsidP="00BF0BA2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Zakład Wodociągów i Kanalizacji Sp. z o.o. – operaty z inwentaryzacji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wodno-kanalizacyjnej</w:t>
      </w:r>
      <w:r w:rsidR="00D75B0B">
        <w:rPr>
          <w:sz w:val="24"/>
        </w:rPr>
        <w:t>:</w:t>
      </w:r>
      <w:r w:rsidR="00701877">
        <w:rPr>
          <w:sz w:val="24"/>
        </w:rPr>
        <w:t xml:space="preserve"> KERG:433/2012,360/2012,266/2012,25/2012,2/2014,595/2013,21/2013,</w:t>
      </w:r>
    </w:p>
    <w:p w:rsidR="00E77B2D" w:rsidRDefault="00701877" w:rsidP="00701877">
      <w:pPr>
        <w:pStyle w:val="Akapitzlist"/>
        <w:ind w:left="1440"/>
        <w:jc w:val="both"/>
        <w:rPr>
          <w:sz w:val="24"/>
        </w:rPr>
      </w:pPr>
      <w:r>
        <w:rPr>
          <w:sz w:val="24"/>
        </w:rPr>
        <w:t>641/2013,396/2013,8/2013,162/2014,393/2014,298/2014,218/2014,162/2014</w:t>
      </w:r>
      <w:r w:rsidR="00690E0F">
        <w:rPr>
          <w:sz w:val="24"/>
        </w:rPr>
        <w:t>,</w:t>
      </w:r>
    </w:p>
    <w:p w:rsidR="00465395" w:rsidRPr="00465395" w:rsidRDefault="00690E0F" w:rsidP="00690E0F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 w:rsidRPr="00465395">
        <w:rPr>
          <w:sz w:val="24"/>
        </w:rPr>
        <w:t>Spółdzielnia Mieszkaniowa Lokatorsko-Własnościowa „Słowianin” w Świnoujściu –  10 arkuszy mapy zasadniczej w skali 1:500 z zaznaczonymi przewodami</w:t>
      </w:r>
      <w:r w:rsidR="008A4B64" w:rsidRPr="00465395">
        <w:rPr>
          <w:sz w:val="24"/>
        </w:rPr>
        <w:t xml:space="preserve"> głównymi i przyłączami, </w:t>
      </w:r>
    </w:p>
    <w:p w:rsidR="00465395" w:rsidRPr="00465395" w:rsidRDefault="008A4B64" w:rsidP="00690E0F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 w:rsidRPr="00465395">
        <w:rPr>
          <w:sz w:val="24"/>
        </w:rPr>
        <w:t>Urząd Morski Szczecin KERG 581/2000</w:t>
      </w:r>
      <w:r w:rsidR="00D75B0B">
        <w:rPr>
          <w:sz w:val="24"/>
        </w:rPr>
        <w:t>,</w:t>
      </w:r>
      <w:r w:rsidRPr="00465395">
        <w:rPr>
          <w:sz w:val="24"/>
        </w:rPr>
        <w:t xml:space="preserve"> </w:t>
      </w:r>
    </w:p>
    <w:p w:rsidR="00465395" w:rsidRPr="00465395" w:rsidRDefault="008A4B64" w:rsidP="00465395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 w:rsidRPr="00465395">
        <w:rPr>
          <w:sz w:val="24"/>
        </w:rPr>
        <w:t>Polkomtel Sp. z o.o. w Warszawie KERG</w:t>
      </w:r>
      <w:r w:rsidR="00D75B0B">
        <w:rPr>
          <w:sz w:val="24"/>
        </w:rPr>
        <w:t xml:space="preserve"> 312/2007</w:t>
      </w:r>
      <w:r w:rsidRPr="00465395">
        <w:rPr>
          <w:sz w:val="24"/>
        </w:rPr>
        <w:t xml:space="preserve">      </w:t>
      </w:r>
    </w:p>
    <w:p w:rsidR="00465395" w:rsidRDefault="001E2662" w:rsidP="001E2662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4.2. </w:t>
      </w:r>
      <w:r w:rsidR="00465395">
        <w:rPr>
          <w:b/>
          <w:sz w:val="24"/>
        </w:rPr>
        <w:t>Przewody główne i przyłącza z operatów wymienionych w punkcie 3</w:t>
      </w:r>
    </w:p>
    <w:p w:rsidR="001E2662" w:rsidRDefault="00CC6A20" w:rsidP="00CC6A20">
      <w:pPr>
        <w:jc w:val="both"/>
        <w:rPr>
          <w:sz w:val="24"/>
        </w:rPr>
      </w:pPr>
      <w:r>
        <w:rPr>
          <w:b/>
          <w:sz w:val="24"/>
        </w:rPr>
        <w:t xml:space="preserve">                  </w:t>
      </w:r>
      <w:r>
        <w:rPr>
          <w:sz w:val="24"/>
        </w:rPr>
        <w:t xml:space="preserve">a)   </w:t>
      </w:r>
      <w:r w:rsidR="001810B7">
        <w:rPr>
          <w:sz w:val="24"/>
        </w:rPr>
        <w:t>Polska Spółka Gazownictwa S</w:t>
      </w:r>
      <w:r w:rsidR="004266EB">
        <w:rPr>
          <w:sz w:val="24"/>
        </w:rPr>
        <w:t xml:space="preserve">p. z o.o. </w:t>
      </w:r>
      <w:r w:rsidR="001810B7">
        <w:rPr>
          <w:sz w:val="24"/>
        </w:rPr>
        <w:t>Warszawa, Oddział Poznań –</w:t>
      </w:r>
    </w:p>
    <w:p w:rsidR="001810B7" w:rsidRDefault="001810B7" w:rsidP="00CC6A20">
      <w:pPr>
        <w:jc w:val="both"/>
        <w:rPr>
          <w:sz w:val="24"/>
        </w:rPr>
      </w:pPr>
      <w:r>
        <w:rPr>
          <w:sz w:val="24"/>
        </w:rPr>
        <w:t xml:space="preserve">                         gazownicze</w:t>
      </w:r>
      <w:r w:rsidR="00D75B0B">
        <w:rPr>
          <w:sz w:val="24"/>
        </w:rPr>
        <w:t>,</w:t>
      </w:r>
    </w:p>
    <w:p w:rsidR="001810B7" w:rsidRDefault="00CC6A20" w:rsidP="00CC6A20">
      <w:pPr>
        <w:jc w:val="both"/>
        <w:rPr>
          <w:sz w:val="24"/>
        </w:rPr>
      </w:pPr>
      <w:r>
        <w:rPr>
          <w:sz w:val="24"/>
        </w:rPr>
        <w:t xml:space="preserve">                  b)   </w:t>
      </w:r>
      <w:r w:rsidR="001810B7">
        <w:rPr>
          <w:sz w:val="24"/>
        </w:rPr>
        <w:t xml:space="preserve">Zakład Wodociągów i Kanalizacji Sp. z o.o. w Świnoujściu – wodne </w:t>
      </w:r>
    </w:p>
    <w:p w:rsidR="001810B7" w:rsidRDefault="001810B7" w:rsidP="00CC6A20">
      <w:pPr>
        <w:jc w:val="both"/>
        <w:rPr>
          <w:sz w:val="24"/>
        </w:rPr>
      </w:pPr>
      <w:r>
        <w:rPr>
          <w:sz w:val="24"/>
        </w:rPr>
        <w:t xml:space="preserve">                        i kanalizacyjne</w:t>
      </w:r>
      <w:r w:rsidR="00D75B0B">
        <w:rPr>
          <w:sz w:val="24"/>
        </w:rPr>
        <w:t>,</w:t>
      </w:r>
      <w:r w:rsidR="00CC6A20">
        <w:rPr>
          <w:sz w:val="24"/>
        </w:rPr>
        <w:t xml:space="preserve">                </w:t>
      </w:r>
    </w:p>
    <w:p w:rsidR="00CC6A20" w:rsidRDefault="001810B7" w:rsidP="00CC6A20">
      <w:pPr>
        <w:jc w:val="both"/>
        <w:rPr>
          <w:sz w:val="24"/>
        </w:rPr>
      </w:pPr>
      <w:r>
        <w:rPr>
          <w:sz w:val="24"/>
        </w:rPr>
        <w:t xml:space="preserve">                 </w:t>
      </w:r>
      <w:r w:rsidR="00CC6A20">
        <w:rPr>
          <w:sz w:val="24"/>
        </w:rPr>
        <w:t xml:space="preserve"> c)   </w:t>
      </w:r>
      <w:r>
        <w:rPr>
          <w:sz w:val="24"/>
        </w:rPr>
        <w:t>Gmina-Miasto Świnoujście -  kanalizacja deszczowa</w:t>
      </w:r>
      <w:r w:rsidR="00CC6A20">
        <w:rPr>
          <w:sz w:val="24"/>
        </w:rPr>
        <w:t xml:space="preserve"> w pasach drogowych</w:t>
      </w:r>
      <w:r w:rsidR="00D75B0B">
        <w:rPr>
          <w:sz w:val="24"/>
        </w:rPr>
        <w:t>,</w:t>
      </w:r>
    </w:p>
    <w:p w:rsidR="001810B7" w:rsidRDefault="00CC6A20" w:rsidP="00CC6A20">
      <w:pPr>
        <w:jc w:val="both"/>
        <w:rPr>
          <w:sz w:val="24"/>
        </w:rPr>
      </w:pPr>
      <w:r>
        <w:rPr>
          <w:sz w:val="24"/>
        </w:rPr>
        <w:t xml:space="preserve">                  d)  </w:t>
      </w:r>
      <w:r w:rsidR="001810B7">
        <w:rPr>
          <w:sz w:val="24"/>
        </w:rPr>
        <w:t xml:space="preserve">Przedsiębiorstwo Energetyki Cieplnej Sp. z </w:t>
      </w:r>
      <w:proofErr w:type="spellStart"/>
      <w:r w:rsidR="001810B7">
        <w:rPr>
          <w:sz w:val="24"/>
        </w:rPr>
        <w:t>o.o</w:t>
      </w:r>
      <w:proofErr w:type="spellEnd"/>
      <w:r w:rsidR="001810B7">
        <w:rPr>
          <w:sz w:val="24"/>
        </w:rPr>
        <w:t xml:space="preserve"> w Świnoujściu –</w:t>
      </w:r>
    </w:p>
    <w:p w:rsidR="00CC6A20" w:rsidRPr="00CC6A20" w:rsidRDefault="001810B7" w:rsidP="00CC6A20">
      <w:pPr>
        <w:jc w:val="both"/>
        <w:rPr>
          <w:sz w:val="24"/>
        </w:rPr>
      </w:pPr>
      <w:r>
        <w:rPr>
          <w:sz w:val="24"/>
        </w:rPr>
        <w:t xml:space="preserve">                       ciepłownicze</w:t>
      </w:r>
      <w:r w:rsidR="00D75B0B">
        <w:rPr>
          <w:sz w:val="24"/>
        </w:rPr>
        <w:t>.</w:t>
      </w:r>
      <w:r>
        <w:rPr>
          <w:sz w:val="24"/>
        </w:rPr>
        <w:t xml:space="preserve"> </w:t>
      </w:r>
    </w:p>
    <w:p w:rsidR="001E2662" w:rsidRDefault="001E2662" w:rsidP="001E2662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5. Zakres treści opracowania danych </w:t>
      </w:r>
      <w:proofErr w:type="spellStart"/>
      <w:r>
        <w:rPr>
          <w:b/>
          <w:sz w:val="24"/>
        </w:rPr>
        <w:t>sieci</w:t>
      </w:r>
      <w:proofErr w:type="spellEnd"/>
      <w:r>
        <w:rPr>
          <w:b/>
          <w:sz w:val="24"/>
        </w:rPr>
        <w:t xml:space="preserve"> uzbrojenia terenu. </w:t>
      </w:r>
    </w:p>
    <w:p w:rsidR="001E2662" w:rsidRDefault="001E2662" w:rsidP="001E2662">
      <w:pPr>
        <w:jc w:val="both"/>
        <w:outlineLvl w:val="1"/>
        <w:rPr>
          <w:sz w:val="24"/>
        </w:rPr>
      </w:pPr>
      <w:r>
        <w:rPr>
          <w:sz w:val="24"/>
        </w:rPr>
        <w:t xml:space="preserve"> Treścią obecnie prowadzonej bazy danych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 są obiekty wg standardu </w:t>
      </w:r>
      <w:proofErr w:type="spellStart"/>
      <w:r>
        <w:rPr>
          <w:sz w:val="24"/>
        </w:rPr>
        <w:t>MRRiB</w:t>
      </w:r>
      <w:proofErr w:type="spellEnd"/>
      <w:r>
        <w:rPr>
          <w:sz w:val="24"/>
        </w:rPr>
        <w:t xml:space="preserve"> z dnia 02 kwietnia 2001 r. zdefiniowane w instrukcji technicznej „G-7 Geodezyjna ewidencja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terenu”. </w:t>
      </w:r>
    </w:p>
    <w:p w:rsidR="001E2662" w:rsidRDefault="001E2662" w:rsidP="001E2662">
      <w:pPr>
        <w:jc w:val="both"/>
        <w:outlineLvl w:val="1"/>
        <w:rPr>
          <w:sz w:val="24"/>
        </w:rPr>
      </w:pPr>
      <w:r>
        <w:rPr>
          <w:sz w:val="24"/>
        </w:rPr>
        <w:t>5.1 W bazie danych zasobu numerycznego Zamawiającego istnieją następujące rodzaje obiektów:</w:t>
      </w:r>
    </w:p>
    <w:p w:rsidR="001E2662" w:rsidRDefault="001E2662" w:rsidP="001E2662">
      <w:pPr>
        <w:numPr>
          <w:ilvl w:val="0"/>
          <w:numId w:val="2"/>
        </w:numPr>
        <w:tabs>
          <w:tab w:val="clear" w:pos="720"/>
          <w:tab w:val="num" w:pos="1059"/>
        </w:tabs>
        <w:ind w:left="454"/>
        <w:jc w:val="both"/>
        <w:outlineLvl w:val="1"/>
        <w:rPr>
          <w:sz w:val="24"/>
        </w:rPr>
      </w:pPr>
      <w:r>
        <w:rPr>
          <w:sz w:val="24"/>
        </w:rPr>
        <w:t>Obiekty punktowe:</w:t>
      </w:r>
    </w:p>
    <w:p w:rsidR="001E2662" w:rsidRDefault="001E2662" w:rsidP="001E2662">
      <w:pPr>
        <w:numPr>
          <w:ilvl w:val="0"/>
          <w:numId w:val="3"/>
        </w:numPr>
        <w:tabs>
          <w:tab w:val="clear" w:pos="1080"/>
          <w:tab w:val="num" w:pos="1419"/>
        </w:tabs>
        <w:ind w:left="584" w:hanging="357"/>
        <w:jc w:val="both"/>
        <w:outlineLvl w:val="1"/>
        <w:rPr>
          <w:sz w:val="24"/>
        </w:rPr>
      </w:pPr>
      <w:r>
        <w:rPr>
          <w:sz w:val="24"/>
        </w:rPr>
        <w:t>Obiekty punktowe ‘</w:t>
      </w:r>
      <w:proofErr w:type="spellStart"/>
      <w:r>
        <w:rPr>
          <w:sz w:val="24"/>
        </w:rPr>
        <w:t>pełnoinformacyjne</w:t>
      </w:r>
      <w:proofErr w:type="spellEnd"/>
      <w:r>
        <w:rPr>
          <w:sz w:val="24"/>
        </w:rPr>
        <w:t>’ (obiekt posiadający odpowiadający mu rekord w bazie danych i funkcjonujący w zasobie samodzielnie i niezależnie od każdego innego obiektu zasobu).</w:t>
      </w:r>
    </w:p>
    <w:p w:rsidR="001E2662" w:rsidRDefault="001E2662" w:rsidP="001E2662">
      <w:pPr>
        <w:numPr>
          <w:ilvl w:val="0"/>
          <w:numId w:val="3"/>
        </w:numPr>
        <w:tabs>
          <w:tab w:val="clear" w:pos="1080"/>
          <w:tab w:val="num" w:pos="1419"/>
        </w:tabs>
        <w:ind w:left="584" w:hanging="357"/>
        <w:jc w:val="both"/>
        <w:outlineLvl w:val="1"/>
        <w:rPr>
          <w:sz w:val="24"/>
        </w:rPr>
      </w:pPr>
      <w:r>
        <w:rPr>
          <w:sz w:val="24"/>
        </w:rPr>
        <w:t xml:space="preserve">‘Punkty XY’ posiadające w zasobie numerycznym jedynie współrzędne ‘X’ i ‘Y’ i mogące funkcjonować jedynie kiedy są uwikłane w definicję geometrii obiektu złożonego (obiektu liniowego lub powierzchniowego). </w:t>
      </w:r>
    </w:p>
    <w:p w:rsidR="001E2662" w:rsidRDefault="001E2662" w:rsidP="001E2662">
      <w:pPr>
        <w:pStyle w:val="Akapitzlist"/>
        <w:numPr>
          <w:ilvl w:val="0"/>
          <w:numId w:val="2"/>
        </w:numPr>
        <w:jc w:val="both"/>
        <w:outlineLvl w:val="1"/>
        <w:rPr>
          <w:sz w:val="24"/>
        </w:rPr>
      </w:pPr>
      <w:r>
        <w:rPr>
          <w:sz w:val="24"/>
        </w:rPr>
        <w:t xml:space="preserve">Obiekty liniowe (geometria tych obiektów zbudowana jest na Obiektach punktowych – patrz wyżej):  </w:t>
      </w:r>
    </w:p>
    <w:p w:rsidR="001E2662" w:rsidRDefault="001E2662" w:rsidP="001E2662">
      <w:pPr>
        <w:pStyle w:val="Akapitzlist"/>
        <w:numPr>
          <w:ilvl w:val="0"/>
          <w:numId w:val="4"/>
        </w:numPr>
        <w:tabs>
          <w:tab w:val="num" w:pos="1419"/>
        </w:tabs>
        <w:jc w:val="both"/>
        <w:outlineLvl w:val="1"/>
        <w:rPr>
          <w:sz w:val="24"/>
        </w:rPr>
      </w:pPr>
      <w:r>
        <w:rPr>
          <w:sz w:val="24"/>
        </w:rPr>
        <w:lastRenderedPageBreak/>
        <w:t>Obiekty liniowe ‘w obrysie’, których definicję geometrii stanowią dwie krawędzie będące obrysem obiektu.</w:t>
      </w:r>
    </w:p>
    <w:p w:rsidR="001E2662" w:rsidRDefault="001E2662" w:rsidP="001E2662">
      <w:pPr>
        <w:pStyle w:val="Akapitzlist"/>
        <w:numPr>
          <w:ilvl w:val="0"/>
          <w:numId w:val="4"/>
        </w:numPr>
        <w:jc w:val="both"/>
        <w:outlineLvl w:val="1"/>
        <w:rPr>
          <w:sz w:val="24"/>
        </w:rPr>
      </w:pPr>
      <w:r>
        <w:rPr>
          <w:sz w:val="24"/>
        </w:rPr>
        <w:t>Obiekty ‘kombinowane’, których definicję geometrii stanowi jednocześnie obrys (krawędzie zewnętrzne) i oś obiektu. Wszystkie Osie odcinków przewodów  w obrysie stworzone w niniejszym zleceniu będą posiadały taką geometrię.</w:t>
      </w:r>
    </w:p>
    <w:p w:rsidR="001E2662" w:rsidRDefault="001E2662" w:rsidP="001E2662">
      <w:pPr>
        <w:pStyle w:val="Akapitzlist"/>
        <w:numPr>
          <w:ilvl w:val="0"/>
          <w:numId w:val="4"/>
        </w:numPr>
        <w:jc w:val="both"/>
        <w:outlineLvl w:val="1"/>
        <w:rPr>
          <w:sz w:val="24"/>
        </w:rPr>
      </w:pPr>
      <w:r>
        <w:rPr>
          <w:sz w:val="24"/>
        </w:rPr>
        <w:t>Obiekty liniowe ‘osiowe’, których definicję geometrii stanowi oś obiektu.</w:t>
      </w:r>
    </w:p>
    <w:p w:rsidR="001E2662" w:rsidRDefault="001E2662" w:rsidP="001E2662">
      <w:pPr>
        <w:numPr>
          <w:ilvl w:val="0"/>
          <w:numId w:val="2"/>
        </w:numPr>
        <w:tabs>
          <w:tab w:val="clear" w:pos="720"/>
          <w:tab w:val="num" w:pos="1059"/>
        </w:tabs>
        <w:ind w:left="454"/>
        <w:jc w:val="both"/>
        <w:outlineLvl w:val="1"/>
        <w:rPr>
          <w:sz w:val="24"/>
        </w:rPr>
      </w:pPr>
      <w:r>
        <w:rPr>
          <w:sz w:val="24"/>
        </w:rPr>
        <w:t>Obiekty powierzchniowe (geometria tych obiektów zbudowana jest na Obiektach punktowych – patrz wyżej).</w:t>
      </w:r>
    </w:p>
    <w:p w:rsidR="001E2662" w:rsidRDefault="001E2662" w:rsidP="001E2662">
      <w:pPr>
        <w:numPr>
          <w:ilvl w:val="0"/>
          <w:numId w:val="2"/>
        </w:numPr>
        <w:tabs>
          <w:tab w:val="clear" w:pos="720"/>
          <w:tab w:val="num" w:pos="1059"/>
        </w:tabs>
        <w:ind w:left="454"/>
        <w:jc w:val="both"/>
        <w:outlineLvl w:val="1"/>
        <w:rPr>
          <w:sz w:val="24"/>
        </w:rPr>
      </w:pPr>
      <w:r>
        <w:rPr>
          <w:sz w:val="24"/>
        </w:rPr>
        <w:t>Obiekty ‘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>’ – obiekty nieposiadające geometrii. Należą do nich:</w:t>
      </w:r>
    </w:p>
    <w:p w:rsidR="001E2662" w:rsidRDefault="001E2662" w:rsidP="001E2662">
      <w:pPr>
        <w:numPr>
          <w:ilvl w:val="1"/>
          <w:numId w:val="2"/>
        </w:numPr>
        <w:tabs>
          <w:tab w:val="clear" w:pos="1440"/>
          <w:tab w:val="num" w:pos="1779"/>
        </w:tabs>
        <w:ind w:left="454"/>
        <w:jc w:val="both"/>
        <w:outlineLvl w:val="1"/>
        <w:rPr>
          <w:sz w:val="24"/>
        </w:rPr>
      </w:pPr>
      <w:r>
        <w:rPr>
          <w:sz w:val="24"/>
        </w:rPr>
        <w:t>Zmiana</w:t>
      </w:r>
    </w:p>
    <w:p w:rsidR="001E2662" w:rsidRDefault="001E2662" w:rsidP="001E2662">
      <w:pPr>
        <w:ind w:left="113"/>
        <w:jc w:val="both"/>
        <w:outlineLvl w:val="1"/>
        <w:rPr>
          <w:sz w:val="24"/>
        </w:rPr>
      </w:pPr>
    </w:p>
    <w:p w:rsidR="001E2662" w:rsidRDefault="001E2662" w:rsidP="001E2662">
      <w:pPr>
        <w:jc w:val="both"/>
        <w:outlineLvl w:val="1"/>
        <w:rPr>
          <w:sz w:val="24"/>
        </w:rPr>
      </w:pPr>
      <w:r>
        <w:rPr>
          <w:sz w:val="24"/>
        </w:rPr>
        <w:t xml:space="preserve">  5.2  Obiekty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podzielone są na:</w:t>
      </w:r>
    </w:p>
    <w:p w:rsidR="001E2662" w:rsidRDefault="001E2662" w:rsidP="001E2662">
      <w:pPr>
        <w:ind w:left="113"/>
        <w:jc w:val="both"/>
        <w:outlineLvl w:val="1"/>
        <w:rPr>
          <w:sz w:val="24"/>
        </w:rPr>
      </w:pPr>
      <w:r>
        <w:rPr>
          <w:sz w:val="24"/>
        </w:rPr>
        <w:t xml:space="preserve"> - obiekty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terenu,</w:t>
      </w:r>
    </w:p>
    <w:p w:rsidR="001E2662" w:rsidRDefault="001E2662" w:rsidP="001E2662">
      <w:pPr>
        <w:ind w:left="113"/>
        <w:jc w:val="both"/>
        <w:outlineLvl w:val="1"/>
        <w:rPr>
          <w:sz w:val="24"/>
        </w:rPr>
      </w:pPr>
      <w:r>
        <w:rPr>
          <w:sz w:val="24"/>
        </w:rPr>
        <w:t xml:space="preserve">        - obiekty dodatkowe - budowle podziemne. </w:t>
      </w:r>
    </w:p>
    <w:p w:rsidR="001E2662" w:rsidRDefault="001E2662" w:rsidP="001E2662">
      <w:pPr>
        <w:ind w:left="113"/>
        <w:jc w:val="both"/>
        <w:outlineLvl w:val="1"/>
        <w:rPr>
          <w:sz w:val="24"/>
        </w:rPr>
      </w:pPr>
      <w:r>
        <w:rPr>
          <w:sz w:val="24"/>
        </w:rPr>
        <w:t xml:space="preserve">5.3 Obiekty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podzielone są na kategorie:</w:t>
      </w:r>
    </w:p>
    <w:p w:rsidR="001E2662" w:rsidRDefault="001E2662" w:rsidP="001E2662">
      <w:pPr>
        <w:ind w:left="113"/>
        <w:jc w:val="both"/>
        <w:outlineLvl w:val="1"/>
        <w:rPr>
          <w:sz w:val="24"/>
        </w:rPr>
      </w:pPr>
      <w:r>
        <w:rPr>
          <w:sz w:val="24"/>
        </w:rPr>
        <w:t>- przewody (obiekt ‘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’), </w:t>
      </w:r>
    </w:p>
    <w:p w:rsidR="001E2662" w:rsidRDefault="001E2662" w:rsidP="001E2662">
      <w:pPr>
        <w:ind w:left="113"/>
        <w:jc w:val="both"/>
        <w:outlineLvl w:val="1"/>
        <w:rPr>
          <w:sz w:val="24"/>
        </w:rPr>
      </w:pPr>
      <w:r>
        <w:rPr>
          <w:sz w:val="24"/>
        </w:rPr>
        <w:t>- osie odcinków przewodów (obiekt geometryczny – ‘Liniowy’),</w:t>
      </w:r>
    </w:p>
    <w:p w:rsidR="001E2662" w:rsidRDefault="001E2662" w:rsidP="001E2662">
      <w:pPr>
        <w:ind w:left="113"/>
        <w:jc w:val="both"/>
        <w:outlineLvl w:val="1"/>
        <w:rPr>
          <w:sz w:val="24"/>
        </w:rPr>
      </w:pPr>
      <w:r>
        <w:rPr>
          <w:sz w:val="24"/>
        </w:rPr>
        <w:t>- obiekty punktowe przewodu (wierzchołki geometrii Osi odcinków przewodów i Armatura),</w:t>
      </w:r>
    </w:p>
    <w:p w:rsidR="001E2662" w:rsidRDefault="001E2662" w:rsidP="001E2662">
      <w:pPr>
        <w:ind w:left="113"/>
        <w:jc w:val="both"/>
        <w:outlineLvl w:val="1"/>
        <w:rPr>
          <w:sz w:val="24"/>
        </w:rPr>
      </w:pPr>
      <w:r>
        <w:rPr>
          <w:sz w:val="24"/>
        </w:rPr>
        <w:t>- obiekty sytuacyjne powierzchniowe (np. podpora słupa nośnego).</w:t>
      </w:r>
    </w:p>
    <w:p w:rsidR="001E2662" w:rsidRDefault="001E2662" w:rsidP="001E2662">
      <w:pPr>
        <w:ind w:left="113"/>
        <w:jc w:val="both"/>
        <w:outlineLvl w:val="1"/>
        <w:rPr>
          <w:sz w:val="24"/>
        </w:rPr>
      </w:pPr>
      <w:r>
        <w:rPr>
          <w:sz w:val="24"/>
        </w:rPr>
        <w:t>5.4  Osie odcinków przewodów podzielone są na:</w:t>
      </w:r>
    </w:p>
    <w:p w:rsidR="001E2662" w:rsidRDefault="001E2662" w:rsidP="001E2662">
      <w:pPr>
        <w:ind w:left="113"/>
        <w:jc w:val="both"/>
        <w:outlineLvl w:val="1"/>
        <w:rPr>
          <w:sz w:val="24"/>
        </w:rPr>
      </w:pPr>
      <w:r>
        <w:rPr>
          <w:sz w:val="24"/>
        </w:rPr>
        <w:tab/>
        <w:t xml:space="preserve">- przewody główne, przyłącza funkcyjne i przyłącza </w:t>
      </w:r>
      <w:proofErr w:type="spellStart"/>
      <w:r>
        <w:rPr>
          <w:sz w:val="24"/>
        </w:rPr>
        <w:t>komercyjne,instalacje</w:t>
      </w:r>
      <w:proofErr w:type="spellEnd"/>
      <w:r>
        <w:rPr>
          <w:sz w:val="24"/>
        </w:rPr>
        <w:t>.</w:t>
      </w:r>
    </w:p>
    <w:p w:rsidR="001E2662" w:rsidRDefault="001E2662" w:rsidP="001E2662">
      <w:pPr>
        <w:outlineLvl w:val="1"/>
        <w:rPr>
          <w:sz w:val="24"/>
        </w:rPr>
      </w:pPr>
      <w:r>
        <w:rPr>
          <w:sz w:val="24"/>
        </w:rPr>
        <w:t xml:space="preserve">   5.5  Oznaczenia kodów były  przyjmowane wg reguł SIP </w:t>
      </w:r>
      <w:proofErr w:type="spellStart"/>
      <w:r>
        <w:rPr>
          <w:sz w:val="24"/>
        </w:rPr>
        <w:t>GEO</w:t>
      </w:r>
      <w:r>
        <w:rPr>
          <w:sz w:val="24"/>
        </w:rPr>
        <w:noBreakHyphen/>
        <w:t>INFO</w:t>
      </w:r>
      <w:proofErr w:type="spellEnd"/>
      <w:r>
        <w:rPr>
          <w:sz w:val="24"/>
        </w:rPr>
        <w:t> </w:t>
      </w:r>
      <w:r w:rsidR="00820701">
        <w:rPr>
          <w:sz w:val="24"/>
        </w:rPr>
        <w:t>6</w:t>
      </w:r>
      <w:r>
        <w:rPr>
          <w:sz w:val="24"/>
        </w:rPr>
        <w:t>.</w:t>
      </w:r>
    </w:p>
    <w:p w:rsidR="001E2662" w:rsidRDefault="001E2662" w:rsidP="001E2662">
      <w:pPr>
        <w:ind w:left="113"/>
        <w:outlineLvl w:val="1"/>
        <w:rPr>
          <w:sz w:val="24"/>
        </w:rPr>
      </w:pPr>
      <w:r>
        <w:rPr>
          <w:sz w:val="24"/>
        </w:rPr>
        <w:t xml:space="preserve"> 5.6  Zasady </w:t>
      </w:r>
    </w:p>
    <w:p w:rsidR="001E2662" w:rsidRDefault="001E2662" w:rsidP="001E2662">
      <w:pPr>
        <w:ind w:left="113"/>
        <w:outlineLvl w:val="1"/>
        <w:rPr>
          <w:sz w:val="24"/>
        </w:rPr>
      </w:pPr>
      <w:r>
        <w:rPr>
          <w:sz w:val="24"/>
        </w:rPr>
        <w:t>Definicja geometrii każdego ‘Przewodu głównego’ zaczyna się i kończy się ‘Punktem węzłowym’. ‘Punkt   węzłowy’ może być wyłącznie obiektem punktowym ‘</w:t>
      </w:r>
      <w:proofErr w:type="spellStart"/>
      <w:r>
        <w:rPr>
          <w:sz w:val="24"/>
        </w:rPr>
        <w:t>pełnoinformacyjnym</w:t>
      </w:r>
      <w:proofErr w:type="spellEnd"/>
      <w:r>
        <w:rPr>
          <w:sz w:val="24"/>
        </w:rPr>
        <w:t>’ (patrz wyżej – Obiekty punktowe).</w:t>
      </w:r>
    </w:p>
    <w:p w:rsidR="001E2662" w:rsidRDefault="001E2662" w:rsidP="001E2662">
      <w:pPr>
        <w:ind w:left="113"/>
        <w:outlineLvl w:val="1"/>
        <w:rPr>
          <w:sz w:val="24"/>
        </w:rPr>
      </w:pPr>
      <w:r>
        <w:rPr>
          <w:sz w:val="24"/>
        </w:rPr>
        <w:t xml:space="preserve"> Definicja geometrii ‘Przyłącza’ może się zaczynać i kończyć dowolnym obiektem punktowym (patrz wyżej –   Obiekty punktowe).</w:t>
      </w:r>
    </w:p>
    <w:p w:rsidR="001E2662" w:rsidRDefault="001E2662" w:rsidP="001E2662">
      <w:pPr>
        <w:ind w:left="113"/>
        <w:outlineLvl w:val="1"/>
        <w:rPr>
          <w:sz w:val="24"/>
        </w:rPr>
      </w:pPr>
      <w:r>
        <w:rPr>
          <w:sz w:val="24"/>
        </w:rPr>
        <w:t xml:space="preserve"> Informacja o tym, czy Oś odcinka przewodu jest ‘Przewodem głównym (rozdzielczym)‘ czy ‘Przyłączem’ (funkcyjnym,  komercyjnym), czy ‘Instalacją’ stanowi treść opisową rekordu obiektu</w:t>
      </w:r>
      <w:r w:rsidR="00820701">
        <w:rPr>
          <w:sz w:val="24"/>
        </w:rPr>
        <w:t>.</w:t>
      </w:r>
      <w:r>
        <w:rPr>
          <w:sz w:val="24"/>
        </w:rPr>
        <w:t xml:space="preserve"> Osie odcinków przewodów są zbudowane tylko na Obiektach punktowych należących do tej samej branży.  Wyjątek stanowi ‘Punkt XY’, który może być uwikłany w geometrię dowolnej branży.</w:t>
      </w:r>
    </w:p>
    <w:p w:rsidR="001E2662" w:rsidRDefault="001E2662" w:rsidP="001E2662">
      <w:pPr>
        <w:ind w:left="113"/>
        <w:outlineLvl w:val="1"/>
        <w:rPr>
          <w:sz w:val="24"/>
        </w:rPr>
      </w:pPr>
      <w:r>
        <w:rPr>
          <w:sz w:val="24"/>
        </w:rPr>
        <w:t xml:space="preserve">Niektóre obiekty (np. studnia kanalizacyjna – właz, podpora jednosłupowa - latarnia) są powiązane ze sobą odpowiednią relacją. </w:t>
      </w:r>
    </w:p>
    <w:p w:rsidR="001E2662" w:rsidRDefault="001E2662" w:rsidP="001E2662">
      <w:pPr>
        <w:ind w:left="227"/>
        <w:outlineLvl w:val="1"/>
        <w:rPr>
          <w:sz w:val="24"/>
        </w:rPr>
      </w:pPr>
      <w:r>
        <w:rPr>
          <w:sz w:val="24"/>
        </w:rPr>
        <w:t xml:space="preserve">5.7 Do każdego obiektu geodezyjnej </w:t>
      </w:r>
      <w:proofErr w:type="spellStart"/>
      <w:r>
        <w:rPr>
          <w:sz w:val="24"/>
        </w:rPr>
        <w:t>ewidencji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uzbrojenia terenu  są  przypisane informacje przestrzenne </w:t>
      </w:r>
      <w:r w:rsidR="00D75B0B">
        <w:rPr>
          <w:sz w:val="24"/>
        </w:rPr>
        <w:t xml:space="preserve">oraz </w:t>
      </w:r>
      <w:r>
        <w:rPr>
          <w:sz w:val="24"/>
        </w:rPr>
        <w:t xml:space="preserve"> opisowe przedmiotowe</w:t>
      </w:r>
      <w:r w:rsidR="00D75B0B">
        <w:rPr>
          <w:sz w:val="24"/>
        </w:rPr>
        <w:t xml:space="preserve"> i podmiotowe</w:t>
      </w:r>
      <w:r>
        <w:rPr>
          <w:sz w:val="24"/>
        </w:rPr>
        <w:t xml:space="preserve">, które są zdefiniowane w </w:t>
      </w:r>
      <w:proofErr w:type="spellStart"/>
      <w:r>
        <w:rPr>
          <w:sz w:val="24"/>
        </w:rPr>
        <w:t>metadanych</w:t>
      </w:r>
      <w:proofErr w:type="spellEnd"/>
      <w:r>
        <w:rPr>
          <w:sz w:val="24"/>
        </w:rPr>
        <w:t xml:space="preserve"> SIP </w:t>
      </w:r>
      <w:proofErr w:type="spellStart"/>
      <w:r>
        <w:rPr>
          <w:sz w:val="24"/>
        </w:rPr>
        <w:t>GEO-INFO</w:t>
      </w:r>
      <w:proofErr w:type="spellEnd"/>
      <w:r>
        <w:rPr>
          <w:sz w:val="24"/>
        </w:rPr>
        <w:t> </w:t>
      </w:r>
      <w:r w:rsidR="00820701">
        <w:rPr>
          <w:sz w:val="24"/>
        </w:rPr>
        <w:t>6</w:t>
      </w:r>
      <w:r>
        <w:rPr>
          <w:sz w:val="24"/>
        </w:rPr>
        <w:t xml:space="preserve"> (patrz dokumentacja SIP </w:t>
      </w:r>
      <w:proofErr w:type="spellStart"/>
      <w:r>
        <w:rPr>
          <w:sz w:val="24"/>
        </w:rPr>
        <w:t>GEO</w:t>
      </w:r>
      <w:r>
        <w:rPr>
          <w:sz w:val="24"/>
        </w:rPr>
        <w:noBreakHyphen/>
        <w:t>INFO</w:t>
      </w:r>
      <w:proofErr w:type="spellEnd"/>
      <w:r>
        <w:rPr>
          <w:sz w:val="24"/>
        </w:rPr>
        <w:t> </w:t>
      </w:r>
      <w:r w:rsidR="00820701">
        <w:rPr>
          <w:sz w:val="24"/>
        </w:rPr>
        <w:t>6</w:t>
      </w:r>
      <w:r>
        <w:rPr>
          <w:sz w:val="24"/>
        </w:rPr>
        <w:t xml:space="preserve">. </w:t>
      </w:r>
      <w:proofErr w:type="spellStart"/>
      <w:r>
        <w:rPr>
          <w:sz w:val="24"/>
        </w:rPr>
        <w:t>Metadane</w:t>
      </w:r>
      <w:proofErr w:type="spellEnd"/>
      <w:r>
        <w:rPr>
          <w:sz w:val="24"/>
        </w:rPr>
        <w:t xml:space="preserve"> SIP </w:t>
      </w:r>
      <w:proofErr w:type="spellStart"/>
      <w:r>
        <w:rPr>
          <w:sz w:val="24"/>
        </w:rPr>
        <w:t>GEO</w:t>
      </w:r>
      <w:r>
        <w:rPr>
          <w:sz w:val="24"/>
        </w:rPr>
        <w:noBreakHyphen/>
        <w:t>INFO</w:t>
      </w:r>
      <w:proofErr w:type="spellEnd"/>
      <w:r>
        <w:rPr>
          <w:sz w:val="24"/>
        </w:rPr>
        <w:t> </w:t>
      </w:r>
      <w:r w:rsidR="00820701">
        <w:rPr>
          <w:sz w:val="24"/>
        </w:rPr>
        <w:t>6</w:t>
      </w:r>
      <w:r>
        <w:rPr>
          <w:sz w:val="24"/>
        </w:rPr>
        <w:t xml:space="preserve"> są zgodne z § 10,13, instrukcji technicznej G-7. Zawierają jednak dodatkowe dane niezbędne dla właściwej konstrukcji i funkcjonowania zasobu numerycznego GESUT.</w:t>
      </w:r>
    </w:p>
    <w:p w:rsidR="00D75B0B" w:rsidRDefault="00D75B0B" w:rsidP="001E2662">
      <w:pPr>
        <w:ind w:left="227"/>
        <w:outlineLvl w:val="1"/>
        <w:rPr>
          <w:sz w:val="24"/>
        </w:rPr>
      </w:pPr>
    </w:p>
    <w:p w:rsidR="00CC249B" w:rsidRPr="00635741" w:rsidRDefault="00CC249B" w:rsidP="00CC249B">
      <w:pPr>
        <w:keepNext/>
        <w:ind w:left="348"/>
        <w:outlineLvl w:val="1"/>
        <w:rPr>
          <w:b/>
          <w:sz w:val="24"/>
        </w:rPr>
      </w:pPr>
      <w:r>
        <w:rPr>
          <w:b/>
          <w:sz w:val="24"/>
        </w:rPr>
        <w:t xml:space="preserve">6.  </w:t>
      </w:r>
      <w:r w:rsidRPr="00635741">
        <w:rPr>
          <w:b/>
          <w:sz w:val="24"/>
        </w:rPr>
        <w:t>Zasady realizacji prac.</w:t>
      </w:r>
    </w:p>
    <w:p w:rsidR="00CC249B" w:rsidRPr="00635741" w:rsidRDefault="00CC249B" w:rsidP="00CC249B">
      <w:pPr>
        <w:keepNext/>
        <w:ind w:left="351"/>
        <w:outlineLvl w:val="1"/>
        <w:rPr>
          <w:b/>
          <w:sz w:val="24"/>
        </w:rPr>
      </w:pPr>
    </w:p>
    <w:p w:rsidR="00CC249B" w:rsidRPr="00635741" w:rsidRDefault="00CC249B" w:rsidP="00CC249B">
      <w:pPr>
        <w:rPr>
          <w:sz w:val="24"/>
        </w:rPr>
      </w:pPr>
      <w:r w:rsidRPr="00635741">
        <w:rPr>
          <w:sz w:val="24"/>
        </w:rPr>
        <w:t xml:space="preserve">Prace związane z </w:t>
      </w:r>
      <w:r w:rsidR="00D75B0B">
        <w:rPr>
          <w:sz w:val="24"/>
        </w:rPr>
        <w:t>aktualizacją</w:t>
      </w:r>
      <w:r w:rsidR="00CB703E">
        <w:rPr>
          <w:sz w:val="24"/>
        </w:rPr>
        <w:t xml:space="preserve"> bazy danych wynikami powykonawczych inwentaryzacji </w:t>
      </w:r>
      <w:r w:rsidRPr="00635741">
        <w:rPr>
          <w:sz w:val="24"/>
        </w:rPr>
        <w:t xml:space="preserve"> </w:t>
      </w:r>
      <w:proofErr w:type="spellStart"/>
      <w:r w:rsidRPr="00635741">
        <w:rPr>
          <w:sz w:val="24"/>
        </w:rPr>
        <w:t>sieci</w:t>
      </w:r>
      <w:proofErr w:type="spellEnd"/>
      <w:r w:rsidRPr="00635741">
        <w:rPr>
          <w:sz w:val="24"/>
        </w:rPr>
        <w:t xml:space="preserve"> uzbrojenia terenu </w:t>
      </w:r>
      <w:r w:rsidR="00CB703E">
        <w:rPr>
          <w:sz w:val="24"/>
        </w:rPr>
        <w:t xml:space="preserve">oraz zarządzającymi tymi sieciami </w:t>
      </w:r>
      <w:r w:rsidRPr="00635741">
        <w:rPr>
          <w:sz w:val="24"/>
        </w:rPr>
        <w:t xml:space="preserve">podlegają zgłoszeniu w MODGiK w Świnoujściu.  Ze względu na obowiązujący dla Miasta Świnoujście standard zasobu numerycznej mapy wielkoskalowej   opracowanie przedmiotu umowy  musi być zgodne ze standardem SIP </w:t>
      </w:r>
      <w:proofErr w:type="spellStart"/>
      <w:r w:rsidRPr="00635741">
        <w:rPr>
          <w:sz w:val="24"/>
        </w:rPr>
        <w:t>GEO-INFO</w:t>
      </w:r>
      <w:proofErr w:type="spellEnd"/>
      <w:r w:rsidRPr="00635741">
        <w:rPr>
          <w:sz w:val="24"/>
        </w:rPr>
        <w:t xml:space="preserve">. Baza danych geodezyjnej </w:t>
      </w:r>
      <w:proofErr w:type="spellStart"/>
      <w:r w:rsidRPr="00635741">
        <w:rPr>
          <w:sz w:val="24"/>
        </w:rPr>
        <w:t>ewidencji</w:t>
      </w:r>
      <w:proofErr w:type="spellEnd"/>
      <w:r w:rsidRPr="00635741">
        <w:rPr>
          <w:sz w:val="24"/>
        </w:rPr>
        <w:t xml:space="preserve"> </w:t>
      </w:r>
      <w:proofErr w:type="spellStart"/>
      <w:r w:rsidRPr="00635741">
        <w:rPr>
          <w:sz w:val="24"/>
        </w:rPr>
        <w:t>sieci</w:t>
      </w:r>
      <w:proofErr w:type="spellEnd"/>
      <w:r w:rsidRPr="00635741">
        <w:rPr>
          <w:sz w:val="24"/>
        </w:rPr>
        <w:t xml:space="preserve">  uzbrojenia terenu prowadzona jest według standardu </w:t>
      </w:r>
      <w:proofErr w:type="spellStart"/>
      <w:r w:rsidRPr="00635741">
        <w:rPr>
          <w:sz w:val="24"/>
        </w:rPr>
        <w:t>MRRiB</w:t>
      </w:r>
      <w:proofErr w:type="spellEnd"/>
      <w:r w:rsidRPr="00635741">
        <w:rPr>
          <w:sz w:val="24"/>
        </w:rPr>
        <w:t xml:space="preserve"> z dnia 02 kwietnia 2001r. </w:t>
      </w:r>
    </w:p>
    <w:p w:rsidR="00CC249B" w:rsidRPr="00635741" w:rsidRDefault="00CC249B" w:rsidP="00CC249B">
      <w:pPr>
        <w:outlineLvl w:val="1"/>
        <w:rPr>
          <w:sz w:val="24"/>
        </w:rPr>
      </w:pPr>
      <w:r w:rsidRPr="00635741">
        <w:rPr>
          <w:sz w:val="24"/>
        </w:rPr>
        <w:lastRenderedPageBreak/>
        <w:t xml:space="preserve">Wzorcem do niniejszego opracowania są wyniki dotychczasowych prac dotyczących geodezyjnej </w:t>
      </w:r>
      <w:proofErr w:type="spellStart"/>
      <w:r w:rsidRPr="00635741">
        <w:rPr>
          <w:sz w:val="24"/>
        </w:rPr>
        <w:t>ewidencji</w:t>
      </w:r>
      <w:proofErr w:type="spellEnd"/>
      <w:r w:rsidRPr="00635741">
        <w:rPr>
          <w:sz w:val="24"/>
        </w:rPr>
        <w:t xml:space="preserve">  </w:t>
      </w:r>
      <w:proofErr w:type="spellStart"/>
      <w:r w:rsidRPr="00635741">
        <w:rPr>
          <w:sz w:val="24"/>
        </w:rPr>
        <w:t>sieci</w:t>
      </w:r>
      <w:proofErr w:type="spellEnd"/>
      <w:r w:rsidRPr="00635741">
        <w:rPr>
          <w:sz w:val="24"/>
        </w:rPr>
        <w:t xml:space="preserve"> uzbrojenia terenu</w:t>
      </w:r>
      <w:r>
        <w:rPr>
          <w:sz w:val="24"/>
        </w:rPr>
        <w:t xml:space="preserve"> w Świnoujściu.</w:t>
      </w:r>
      <w:r w:rsidRPr="00635741">
        <w:rPr>
          <w:sz w:val="24"/>
        </w:rPr>
        <w:t xml:space="preserve"> </w:t>
      </w:r>
    </w:p>
    <w:p w:rsidR="00CC249B" w:rsidRPr="00635741" w:rsidRDefault="00CC249B" w:rsidP="00CC249B">
      <w:pPr>
        <w:jc w:val="both"/>
        <w:rPr>
          <w:sz w:val="24"/>
        </w:rPr>
      </w:pPr>
      <w:r w:rsidRPr="00635741">
        <w:rPr>
          <w:sz w:val="24"/>
        </w:rPr>
        <w:t xml:space="preserve">Całość prac związanych z realizacją zamówienia </w:t>
      </w:r>
      <w:r w:rsidRPr="00635741">
        <w:rPr>
          <w:sz w:val="24"/>
          <w:u w:val="single"/>
        </w:rPr>
        <w:t>będzie prowadzona w ‘trybie zmiany’.</w:t>
      </w:r>
      <w:r w:rsidRPr="00635741">
        <w:rPr>
          <w:sz w:val="24"/>
        </w:rPr>
        <w:t xml:space="preserve"> Obiekty dotychczas istniejące w bazie danych Zamawiającego, po modyfikacji, uzyskają kolejne wersje rozszerzając w ten sposób aktualnie już budowaną historię. Wykonawca, na czas realizacji przedmiotu umowy utworzy u siebie Zmianę z bieżącym KERG, którą wykorzysta do </w:t>
      </w:r>
      <w:proofErr w:type="spellStart"/>
      <w:r w:rsidRPr="00635741">
        <w:rPr>
          <w:sz w:val="24"/>
        </w:rPr>
        <w:t>obsługi</w:t>
      </w:r>
      <w:proofErr w:type="spellEnd"/>
      <w:r w:rsidRPr="00635741">
        <w:rPr>
          <w:sz w:val="24"/>
        </w:rPr>
        <w:t xml:space="preserve"> Zmian obiektów niniejszego opracowania. </w:t>
      </w:r>
      <w:r>
        <w:rPr>
          <w:sz w:val="24"/>
        </w:rPr>
        <w:t>Wykonawca</w:t>
      </w:r>
      <w:r w:rsidRPr="00635741">
        <w:rPr>
          <w:sz w:val="24"/>
        </w:rPr>
        <w:t xml:space="preserve"> po uzupełnieniu danymi, będącymi efektem prac związanych z przedmiotem umowy, przekaże do kontroli</w:t>
      </w:r>
      <w:r>
        <w:rPr>
          <w:sz w:val="24"/>
        </w:rPr>
        <w:t xml:space="preserve"> Zamawiającemu plik w formacie .bak.</w:t>
      </w:r>
      <w:r w:rsidRPr="00635741">
        <w:rPr>
          <w:sz w:val="24"/>
        </w:rPr>
        <w:t xml:space="preserve"> Po potwierdzeniu przez Zamawiającego właściwej jakości prac, Wykonawca dokona importu danych do bazy Zamaw</w:t>
      </w:r>
      <w:r>
        <w:rPr>
          <w:sz w:val="24"/>
        </w:rPr>
        <w:t xml:space="preserve">iającego w MODGiK w Świnoujściu. </w:t>
      </w:r>
    </w:p>
    <w:p w:rsidR="00CC249B" w:rsidRDefault="00CC249B" w:rsidP="00CB703E">
      <w:pPr>
        <w:jc w:val="both"/>
        <w:rPr>
          <w:sz w:val="24"/>
        </w:rPr>
      </w:pPr>
      <w:r w:rsidRPr="00635741">
        <w:rPr>
          <w:sz w:val="24"/>
        </w:rPr>
        <w:t xml:space="preserve">Po zakończeniu prac, Wykonawca dostarczy do MODGiK w Świnoujściu operat z </w:t>
      </w:r>
      <w:r w:rsidR="00CB703E">
        <w:rPr>
          <w:sz w:val="24"/>
        </w:rPr>
        <w:t>ze sprawozdaniem technicznym.</w:t>
      </w:r>
    </w:p>
    <w:p w:rsidR="00CB703E" w:rsidRPr="00635741" w:rsidRDefault="00CB703E" w:rsidP="00CB703E">
      <w:pPr>
        <w:jc w:val="both"/>
        <w:rPr>
          <w:b/>
          <w:sz w:val="24"/>
        </w:rPr>
      </w:pPr>
    </w:p>
    <w:p w:rsidR="00CC249B" w:rsidRDefault="00CC249B" w:rsidP="00CC249B">
      <w:pPr>
        <w:keepNext/>
        <w:jc w:val="both"/>
        <w:rPr>
          <w:b/>
          <w:sz w:val="24"/>
        </w:rPr>
      </w:pPr>
      <w:r>
        <w:rPr>
          <w:b/>
          <w:sz w:val="24"/>
        </w:rPr>
        <w:t>7</w:t>
      </w:r>
      <w:r w:rsidRPr="00635741">
        <w:rPr>
          <w:b/>
          <w:sz w:val="24"/>
        </w:rPr>
        <w:t>.   Postanowienia końcowe</w:t>
      </w:r>
    </w:p>
    <w:p w:rsidR="00CC249B" w:rsidRPr="00635741" w:rsidRDefault="00CC249B" w:rsidP="00CC249B">
      <w:pPr>
        <w:keepNext/>
        <w:jc w:val="both"/>
        <w:rPr>
          <w:b/>
          <w:sz w:val="24"/>
        </w:rPr>
      </w:pPr>
    </w:p>
    <w:p w:rsidR="00CC249B" w:rsidRDefault="00CC249B" w:rsidP="00CC249B">
      <w:pPr>
        <w:jc w:val="both"/>
        <w:rPr>
          <w:sz w:val="24"/>
        </w:rPr>
      </w:pPr>
      <w:r w:rsidRPr="00635741">
        <w:rPr>
          <w:sz w:val="24"/>
        </w:rPr>
        <w:t xml:space="preserve">Wykonawca </w:t>
      </w:r>
      <w:r w:rsidR="00CB703E" w:rsidRPr="00635741">
        <w:rPr>
          <w:sz w:val="24"/>
        </w:rPr>
        <w:t xml:space="preserve">otrzyma od Zamawiającego </w:t>
      </w:r>
      <w:r>
        <w:rPr>
          <w:sz w:val="24"/>
        </w:rPr>
        <w:t xml:space="preserve"> eksport danych w formacie .</w:t>
      </w:r>
      <w:proofErr w:type="spellStart"/>
      <w:r>
        <w:rPr>
          <w:sz w:val="24"/>
        </w:rPr>
        <w:t>giv</w:t>
      </w:r>
      <w:proofErr w:type="spellEnd"/>
      <w:r>
        <w:rPr>
          <w:sz w:val="24"/>
        </w:rPr>
        <w:t xml:space="preserve"> </w:t>
      </w:r>
      <w:r w:rsidR="00CB703E">
        <w:rPr>
          <w:sz w:val="24"/>
        </w:rPr>
        <w:t xml:space="preserve">. Zamawiający udostępni na miejscu operaty wymienione w </w:t>
      </w:r>
      <w:proofErr w:type="spellStart"/>
      <w:r w:rsidR="00CB703E">
        <w:rPr>
          <w:sz w:val="24"/>
        </w:rPr>
        <w:t>pkt</w:t>
      </w:r>
      <w:proofErr w:type="spellEnd"/>
      <w:r w:rsidR="00CB703E">
        <w:rPr>
          <w:sz w:val="24"/>
        </w:rPr>
        <w:t xml:space="preserve"> 3 oraz dokumenty wymienione w </w:t>
      </w:r>
      <w:proofErr w:type="spellStart"/>
      <w:r w:rsidR="00CB703E">
        <w:rPr>
          <w:sz w:val="24"/>
        </w:rPr>
        <w:t>pkt</w:t>
      </w:r>
      <w:proofErr w:type="spellEnd"/>
      <w:r w:rsidR="00CB703E">
        <w:rPr>
          <w:sz w:val="24"/>
        </w:rPr>
        <w:t xml:space="preserve"> 4 celem wykonania kopi</w:t>
      </w:r>
      <w:r w:rsidR="00E806B6">
        <w:rPr>
          <w:sz w:val="24"/>
        </w:rPr>
        <w:t>i</w:t>
      </w:r>
      <w:r w:rsidR="00CB703E">
        <w:rPr>
          <w:sz w:val="24"/>
        </w:rPr>
        <w:t>, które będą służyły do realizacji prac.</w:t>
      </w:r>
    </w:p>
    <w:p w:rsidR="00C64870" w:rsidRDefault="00C64870" w:rsidP="00CC249B">
      <w:pPr>
        <w:jc w:val="both"/>
        <w:rPr>
          <w:sz w:val="24"/>
        </w:rPr>
      </w:pPr>
    </w:p>
    <w:p w:rsidR="00C64870" w:rsidRDefault="00C64870" w:rsidP="00CC249B">
      <w:pPr>
        <w:jc w:val="both"/>
        <w:rPr>
          <w:sz w:val="24"/>
        </w:rPr>
      </w:pPr>
    </w:p>
    <w:p w:rsidR="00C64870" w:rsidRPr="00A34CDD" w:rsidRDefault="00C64870" w:rsidP="00C64870">
      <w:pPr>
        <w:jc w:val="right"/>
        <w:rPr>
          <w:szCs w:val="20"/>
        </w:rPr>
      </w:pPr>
      <w:r>
        <w:rPr>
          <w:sz w:val="24"/>
        </w:rPr>
        <w:t>Maciej Zięba</w:t>
      </w:r>
    </w:p>
    <w:p w:rsidR="0076511B" w:rsidRDefault="0076511B"/>
    <w:sectPr w:rsidR="0076511B" w:rsidSect="0076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06E"/>
    <w:multiLevelType w:val="hybridMultilevel"/>
    <w:tmpl w:val="D31C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A4F97"/>
    <w:multiLevelType w:val="hybridMultilevel"/>
    <w:tmpl w:val="81701190"/>
    <w:lvl w:ilvl="0" w:tplc="38649DA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C101EE"/>
    <w:multiLevelType w:val="hybridMultilevel"/>
    <w:tmpl w:val="C1D47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357A6"/>
    <w:multiLevelType w:val="hybridMultilevel"/>
    <w:tmpl w:val="8AC2DC7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468761C1"/>
    <w:multiLevelType w:val="hybridMultilevel"/>
    <w:tmpl w:val="F38272A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F21596C"/>
    <w:multiLevelType w:val="hybridMultilevel"/>
    <w:tmpl w:val="D55A8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D5B23"/>
    <w:multiLevelType w:val="hybridMultilevel"/>
    <w:tmpl w:val="DEF4CD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A1BE3"/>
    <w:multiLevelType w:val="multilevel"/>
    <w:tmpl w:val="1CB46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8">
    <w:nsid w:val="7BDA2441"/>
    <w:multiLevelType w:val="hybridMultilevel"/>
    <w:tmpl w:val="3A0C48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8C2"/>
    <w:rsid w:val="000D28DB"/>
    <w:rsid w:val="001810B7"/>
    <w:rsid w:val="001E2662"/>
    <w:rsid w:val="001E393F"/>
    <w:rsid w:val="0022259E"/>
    <w:rsid w:val="004266EB"/>
    <w:rsid w:val="00465395"/>
    <w:rsid w:val="006742A0"/>
    <w:rsid w:val="00690E0F"/>
    <w:rsid w:val="00701877"/>
    <w:rsid w:val="00752412"/>
    <w:rsid w:val="0076511B"/>
    <w:rsid w:val="00820701"/>
    <w:rsid w:val="008358C2"/>
    <w:rsid w:val="008A4B64"/>
    <w:rsid w:val="00902457"/>
    <w:rsid w:val="00917163"/>
    <w:rsid w:val="009F44E5"/>
    <w:rsid w:val="00A22019"/>
    <w:rsid w:val="00BF0BA2"/>
    <w:rsid w:val="00C0344C"/>
    <w:rsid w:val="00C25BE3"/>
    <w:rsid w:val="00C64870"/>
    <w:rsid w:val="00CB5C57"/>
    <w:rsid w:val="00CB703E"/>
    <w:rsid w:val="00CC249B"/>
    <w:rsid w:val="00CC6A20"/>
    <w:rsid w:val="00D018DB"/>
    <w:rsid w:val="00D630BB"/>
    <w:rsid w:val="00D75B0B"/>
    <w:rsid w:val="00E30F73"/>
    <w:rsid w:val="00E77B2D"/>
    <w:rsid w:val="00E806B6"/>
    <w:rsid w:val="00E90773"/>
    <w:rsid w:val="00E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F73"/>
    <w:pPr>
      <w:ind w:left="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mzieba</dc:creator>
  <cp:lastModifiedBy>mzieba</cp:lastModifiedBy>
  <cp:revision>10</cp:revision>
  <cp:lastPrinted>2015-07-30T12:59:00Z</cp:lastPrinted>
  <dcterms:created xsi:type="dcterms:W3CDTF">2015-07-30T12:00:00Z</dcterms:created>
  <dcterms:modified xsi:type="dcterms:W3CDTF">2015-07-31T11:18:00Z</dcterms:modified>
</cp:coreProperties>
</file>