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15" w:rsidRPr="00DF6AE1" w:rsidRDefault="00142AEF" w:rsidP="00043815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 nr</w:t>
      </w:r>
      <w:r w:rsidR="00043815" w:rsidRPr="00DF6AE1">
        <w:t xml:space="preserve"> 1</w:t>
      </w:r>
    </w:p>
    <w:p w:rsidR="00043815" w:rsidRPr="00DF6AE1" w:rsidRDefault="00043815" w:rsidP="00043815"/>
    <w:p w:rsidR="00593C36" w:rsidRPr="00DF6AE1" w:rsidRDefault="00761B3C" w:rsidP="00043815">
      <w:pPr>
        <w:rPr>
          <w:b/>
        </w:rPr>
        <w:sectPr w:rsidR="00593C36" w:rsidRPr="00DF6AE1" w:rsidSect="00593C36">
          <w:pgSz w:w="11906" w:h="16838"/>
          <w:pgMar w:top="1418" w:right="1418" w:bottom="1418" w:left="1418" w:header="1418" w:footer="709" w:gutter="0"/>
          <w:cols w:space="708"/>
          <w:formProt w:val="0"/>
          <w:docGrid w:linePitch="360"/>
        </w:sectPr>
      </w:pPr>
      <w:r w:rsidRPr="00DF6AE1">
        <w:rPr>
          <w:b/>
        </w:rPr>
        <w:t>Specyfikacja techniczna</w:t>
      </w:r>
      <w:r w:rsidR="00043815" w:rsidRPr="00DF6AE1">
        <w:rPr>
          <w:b/>
        </w:rPr>
        <w:t xml:space="preserve"> </w:t>
      </w:r>
      <w:r w:rsidRPr="00DF6AE1">
        <w:rPr>
          <w:b/>
        </w:rPr>
        <w:t xml:space="preserve"> na w</w:t>
      </w:r>
      <w:r w:rsidR="00F5103D" w:rsidRPr="00DF6AE1">
        <w:rPr>
          <w:b/>
        </w:rPr>
        <w:t xml:space="preserve">ykonanie projektu </w:t>
      </w:r>
      <w:r w:rsidR="00F01DEC" w:rsidRPr="00DF6AE1">
        <w:rPr>
          <w:b/>
        </w:rPr>
        <w:t xml:space="preserve">strukturalnej </w:t>
      </w:r>
      <w:r w:rsidR="00F5103D" w:rsidRPr="00DF6AE1">
        <w:rPr>
          <w:b/>
        </w:rPr>
        <w:t xml:space="preserve">sieci przewodowej </w:t>
      </w:r>
    </w:p>
    <w:p w:rsidR="00F5103D" w:rsidRPr="00DF6AE1" w:rsidRDefault="00F5103D" w:rsidP="00761B3C">
      <w:pPr>
        <w:spacing w:after="120"/>
        <w:jc w:val="both"/>
      </w:pPr>
    </w:p>
    <w:p w:rsidR="00F5103D" w:rsidRPr="00DF6AE1" w:rsidRDefault="00F5103D" w:rsidP="001B2A6D">
      <w:pPr>
        <w:numPr>
          <w:ilvl w:val="0"/>
          <w:numId w:val="34"/>
        </w:numPr>
        <w:rPr>
          <w:b/>
        </w:rPr>
      </w:pPr>
      <w:bookmarkStart w:id="1" w:name="_Toc340229526"/>
      <w:r w:rsidRPr="00DF6AE1">
        <w:rPr>
          <w:b/>
        </w:rPr>
        <w:t>Zakres projektu</w:t>
      </w:r>
      <w:bookmarkEnd w:id="1"/>
    </w:p>
    <w:p w:rsidR="00C03CFF" w:rsidRPr="00DF6AE1" w:rsidRDefault="00F5103D" w:rsidP="00C03CFF">
      <w:pPr>
        <w:spacing w:after="120"/>
        <w:jc w:val="both"/>
      </w:pPr>
      <w:r w:rsidRPr="00DF6AE1">
        <w:t>Wykonanie projektu nowej instalacji sieci strukturalnej w budynk</w:t>
      </w:r>
      <w:r w:rsidR="00C03CFF" w:rsidRPr="00DF6AE1">
        <w:t>u należącym do Urzędu Miasta Świnoujście, mieszczącym się przy ul. Wojska Polskiego 1/3</w:t>
      </w:r>
      <w:bookmarkStart w:id="2" w:name="_Toc340229527"/>
      <w:r w:rsidR="00C03CFF" w:rsidRPr="00DF6AE1">
        <w:t xml:space="preserve"> obejmującego:</w:t>
      </w:r>
    </w:p>
    <w:p w:rsidR="00B436E3" w:rsidRPr="00DF6AE1" w:rsidRDefault="00C03CFF" w:rsidP="00C03CFF">
      <w:pPr>
        <w:numPr>
          <w:ilvl w:val="0"/>
          <w:numId w:val="33"/>
        </w:numPr>
        <w:spacing w:after="120"/>
        <w:jc w:val="both"/>
      </w:pPr>
      <w:r w:rsidRPr="00DF6AE1">
        <w:t xml:space="preserve">Budowę instalacji teleinformatycznej </w:t>
      </w:r>
      <w:r w:rsidR="00F7026D" w:rsidRPr="00DF6AE1">
        <w:t>opartej na okablowaniu strukturalnym,</w:t>
      </w:r>
      <w:r w:rsidR="00F01DEC" w:rsidRPr="00DF6AE1">
        <w:t xml:space="preserve"> kabel UTP, kategorii 6,</w:t>
      </w:r>
      <w:r w:rsidR="00F7026D" w:rsidRPr="00DF6AE1">
        <w:t xml:space="preserve"> składającej się z 24 podwójnych gniazd kategorii 6</w:t>
      </w:r>
      <w:r w:rsidR="00F01DEC" w:rsidRPr="00DF6AE1">
        <w:t>.</w:t>
      </w:r>
    </w:p>
    <w:p w:rsidR="00F7026D" w:rsidRPr="00DF6AE1" w:rsidRDefault="00F7026D" w:rsidP="00C03CFF">
      <w:pPr>
        <w:numPr>
          <w:ilvl w:val="0"/>
          <w:numId w:val="33"/>
        </w:numPr>
        <w:spacing w:after="120"/>
        <w:jc w:val="both"/>
      </w:pPr>
      <w:r w:rsidRPr="00DF6AE1">
        <w:t>Instalację urządzeń aktywnych sieci komputerowej</w:t>
      </w:r>
      <w:r w:rsidR="00F01DEC" w:rsidRPr="00DF6AE1">
        <w:t>.</w:t>
      </w:r>
    </w:p>
    <w:p w:rsidR="00F7026D" w:rsidRPr="00DF6AE1" w:rsidRDefault="00F7026D" w:rsidP="00C03CFF">
      <w:pPr>
        <w:numPr>
          <w:ilvl w:val="0"/>
          <w:numId w:val="33"/>
        </w:numPr>
        <w:spacing w:after="120"/>
        <w:jc w:val="both"/>
      </w:pPr>
      <w:r w:rsidRPr="00DF6AE1">
        <w:t>Instalację zasilaczy bezprzerwowych UPS</w:t>
      </w:r>
      <w:r w:rsidR="00F01DEC" w:rsidRPr="00DF6AE1">
        <w:t>.</w:t>
      </w:r>
    </w:p>
    <w:p w:rsidR="00593DC0" w:rsidRPr="00DF6AE1" w:rsidRDefault="00F7026D" w:rsidP="00593DC0">
      <w:pPr>
        <w:numPr>
          <w:ilvl w:val="0"/>
          <w:numId w:val="33"/>
        </w:numPr>
        <w:spacing w:after="120"/>
        <w:jc w:val="both"/>
      </w:pPr>
      <w:r w:rsidRPr="00DF6AE1">
        <w:t>Demontaż istniejącej instalacji komputerowej</w:t>
      </w:r>
      <w:r w:rsidR="00F01DEC" w:rsidRPr="00DF6AE1">
        <w:t>.</w:t>
      </w:r>
    </w:p>
    <w:p w:rsidR="00593DC0" w:rsidRPr="00DF6AE1" w:rsidRDefault="00593DC0" w:rsidP="00B436E3">
      <w:pPr>
        <w:spacing w:after="120"/>
        <w:jc w:val="both"/>
      </w:pPr>
      <w:r w:rsidRPr="00DF6AE1">
        <w:t>Budynek posiada 2 kondygnacje o powierzchni łącznej 361 m2 (I piętro 214 m2, poddasze 147 m2)</w:t>
      </w:r>
    </w:p>
    <w:p w:rsidR="00D53C69" w:rsidRPr="00DF6AE1" w:rsidRDefault="001B2A6D" w:rsidP="00C03CFF">
      <w:pPr>
        <w:spacing w:after="120"/>
        <w:jc w:val="both"/>
        <w:rPr>
          <w:b/>
        </w:rPr>
      </w:pPr>
      <w:r w:rsidRPr="00DF6AE1">
        <w:rPr>
          <w:b/>
        </w:rPr>
        <w:t>2</w:t>
      </w:r>
      <w:r w:rsidR="008C4B31" w:rsidRPr="00DF6AE1">
        <w:rPr>
          <w:b/>
        </w:rPr>
        <w:t xml:space="preserve">. </w:t>
      </w:r>
      <w:r w:rsidR="00F11F63" w:rsidRPr="00DF6AE1">
        <w:rPr>
          <w:b/>
        </w:rPr>
        <w:t>Z</w:t>
      </w:r>
      <w:r w:rsidR="00F5103D" w:rsidRPr="00DF6AE1">
        <w:rPr>
          <w:b/>
        </w:rPr>
        <w:t>ałożenia projektowe</w:t>
      </w:r>
      <w:bookmarkEnd w:id="2"/>
    </w:p>
    <w:p w:rsidR="00D53C69" w:rsidRPr="00DF6AE1" w:rsidRDefault="00D53C69" w:rsidP="001B2A6D">
      <w:pPr>
        <w:numPr>
          <w:ilvl w:val="0"/>
          <w:numId w:val="11"/>
        </w:numPr>
        <w:spacing w:after="120"/>
        <w:jc w:val="both"/>
      </w:pPr>
      <w:r w:rsidRPr="00DF6AE1">
        <w:t>Projekt należy wykonać zgodnie z ustawą z dnia 7 lipca 1994r. Prawo Budowlane wraz z późniejszymi zmianami, oraz zgodnie z Rozporządzeniem Ministra Infrastruktury z dnia 12 kwietnia 2002</w:t>
      </w:r>
      <w:r w:rsidR="003725EC" w:rsidRPr="00DF6AE1">
        <w:t xml:space="preserve"> </w:t>
      </w:r>
      <w:r w:rsidRPr="00DF6AE1">
        <w:t xml:space="preserve">r. w sprawie warunków technicznych jakim powinny odpowiadać budynki i ich usytuowanie, wraz z późniejszymi zmianami, a także zgodnie z Rozporządzeniem Ministra Infrastruktury z dnia </w:t>
      </w:r>
      <w:r w:rsidR="008C4B31" w:rsidRPr="00DF6AE1">
        <w:t>25 kwietnia 2012 r.</w:t>
      </w:r>
      <w:r w:rsidRPr="00DF6AE1">
        <w:t xml:space="preserve"> w sprawie szczegółowego zakresu i formy projektu </w:t>
      </w:r>
      <w:r w:rsidR="00C233C6" w:rsidRPr="00DF6AE1">
        <w:t>budowlanego</w:t>
      </w:r>
      <w:r w:rsidRPr="00DF6AE1">
        <w:t xml:space="preserve"> wraz z późniejszymi zmianami.</w:t>
      </w:r>
    </w:p>
    <w:p w:rsidR="007D36EB" w:rsidRPr="00DF6AE1" w:rsidRDefault="00593DC0" w:rsidP="00B436E3">
      <w:pPr>
        <w:numPr>
          <w:ilvl w:val="0"/>
          <w:numId w:val="11"/>
        </w:numPr>
        <w:tabs>
          <w:tab w:val="clear" w:pos="720"/>
        </w:tabs>
        <w:spacing w:after="120"/>
        <w:ind w:left="426"/>
        <w:jc w:val="both"/>
      </w:pPr>
      <w:r w:rsidRPr="00DF6AE1">
        <w:t>Projekt m</w:t>
      </w:r>
      <w:r w:rsidR="00B436E3" w:rsidRPr="00DF6AE1">
        <w:t>usi</w:t>
      </w:r>
      <w:r w:rsidRPr="00DF6AE1">
        <w:t xml:space="preserve"> zawierać </w:t>
      </w:r>
      <w:r w:rsidR="00B436E3" w:rsidRPr="00DF6AE1">
        <w:t xml:space="preserve">projekt wykonawczy instalacji teleinformatycznej, </w:t>
      </w:r>
      <w:r w:rsidRPr="00DF6AE1">
        <w:t>specyfikację techniczną wykonania i odbioru robót, kosztorys inwestorski, przedmiar robót</w:t>
      </w:r>
      <w:r w:rsidR="007D36EB" w:rsidRPr="00DF6AE1">
        <w:t>.</w:t>
      </w:r>
    </w:p>
    <w:p w:rsidR="007D36EB" w:rsidRPr="00DF6AE1" w:rsidRDefault="007D36EB" w:rsidP="007D36EB">
      <w:pPr>
        <w:numPr>
          <w:ilvl w:val="0"/>
          <w:numId w:val="11"/>
        </w:numPr>
        <w:tabs>
          <w:tab w:val="clear" w:pos="720"/>
        </w:tabs>
        <w:spacing w:after="120"/>
        <w:ind w:left="426"/>
        <w:jc w:val="both"/>
      </w:pPr>
      <w:r w:rsidRPr="00DF6AE1">
        <w:t xml:space="preserve">Projekt musi zawierać warunki odbioru instalacji okablowania strukturalnego. </w:t>
      </w:r>
      <w:r w:rsidR="00593DC0" w:rsidRPr="00DF6AE1">
        <w:t>Wykonanie pomiarów powinno być zgodne z n</w:t>
      </w:r>
      <w:r w:rsidRPr="00DF6AE1">
        <w:t>ormą PN-EN 50346:2004</w:t>
      </w:r>
      <w:r w:rsidR="00593DC0" w:rsidRPr="00DF6AE1">
        <w:t xml:space="preserve">. </w:t>
      </w:r>
      <w:r w:rsidRPr="00DF6AE1">
        <w:t>Pomiary sieci światłowodowej powinny być wykonane zgodnie z normą PN-EN 14763-3:2009. Pomiary należy wykonać dla wszystkich interfejsów okablowania poziomego oraz szkieletowego.</w:t>
      </w:r>
    </w:p>
    <w:p w:rsidR="007D36EB" w:rsidRPr="00DF6AE1" w:rsidRDefault="007D36EB" w:rsidP="007D36EB">
      <w:pPr>
        <w:numPr>
          <w:ilvl w:val="0"/>
          <w:numId w:val="11"/>
        </w:numPr>
        <w:tabs>
          <w:tab w:val="clear" w:pos="720"/>
        </w:tabs>
        <w:spacing w:after="120"/>
        <w:ind w:left="426"/>
        <w:jc w:val="both"/>
      </w:pPr>
      <w:r w:rsidRPr="00DF6AE1">
        <w:t xml:space="preserve"> Projekt ma zakładać, aby całość rozwiązania była objęta jednolitą, spójną 25-letnią gwarancją systemową producenta, obejmującą całą część transmisyjną „miedzianą” wraz z kablami krosowymi i innymi elementami dodatkowymi, np. szafami kablowymi. Gwarancja ma być udzielona przez producenta bezpośrednio klientowi końcowemu. </w:t>
      </w:r>
    </w:p>
    <w:p w:rsidR="001B2A6D" w:rsidRPr="00DF6AE1" w:rsidRDefault="001B2A6D" w:rsidP="001B2A6D">
      <w:pPr>
        <w:numPr>
          <w:ilvl w:val="0"/>
          <w:numId w:val="11"/>
        </w:numPr>
        <w:tabs>
          <w:tab w:val="clear" w:pos="720"/>
        </w:tabs>
        <w:spacing w:after="120"/>
        <w:ind w:left="426"/>
        <w:jc w:val="both"/>
      </w:pPr>
      <w:r w:rsidRPr="00DF6AE1">
        <w:t>Projekt ma zawierać wytyczne i zagadnienia związane z okablowaniem strukturalnym. Normy europejskie dotyczące ogólnych wymagań oraz specyficznych dla środowiska biurowego:</w:t>
      </w:r>
    </w:p>
    <w:p w:rsidR="001B2A6D" w:rsidRPr="00DF6AE1" w:rsidRDefault="001B2A6D" w:rsidP="001B2A6D">
      <w:pPr>
        <w:numPr>
          <w:ilvl w:val="0"/>
          <w:numId w:val="3"/>
        </w:numPr>
        <w:spacing w:after="120"/>
        <w:jc w:val="both"/>
      </w:pPr>
      <w:r w:rsidRPr="00DF6AE1">
        <w:t>PN-EN 50173-1:2011 Technika Informatyczna – Systemy okablowania strukturalnego – Część 1: Wymagania ogólne</w:t>
      </w:r>
    </w:p>
    <w:p w:rsidR="001B2A6D" w:rsidRPr="00DF6AE1" w:rsidRDefault="001B2A6D" w:rsidP="001B2A6D">
      <w:pPr>
        <w:numPr>
          <w:ilvl w:val="0"/>
          <w:numId w:val="3"/>
        </w:numPr>
        <w:spacing w:after="120"/>
        <w:jc w:val="both"/>
      </w:pPr>
      <w:r w:rsidRPr="00DF6AE1">
        <w:t>PN-EN 50173-2:2008 Technika Informatyczna – Systemy okablowania strukturalnego – Część 2: Budynki biurowe;</w:t>
      </w:r>
    </w:p>
    <w:p w:rsidR="001B2A6D" w:rsidRPr="00DF6AE1" w:rsidRDefault="001B2A6D" w:rsidP="001B2A6D">
      <w:pPr>
        <w:spacing w:after="120"/>
        <w:ind w:firstLine="709"/>
        <w:jc w:val="both"/>
      </w:pPr>
      <w:r w:rsidRPr="00DF6AE1">
        <w:t>Dodatkowe normy europejskie związane z planowaniem powołane w projekcie:</w:t>
      </w:r>
    </w:p>
    <w:p w:rsidR="001B2A6D" w:rsidRPr="00DF6AE1" w:rsidRDefault="001B2A6D" w:rsidP="001B2A6D">
      <w:pPr>
        <w:numPr>
          <w:ilvl w:val="0"/>
          <w:numId w:val="5"/>
        </w:numPr>
        <w:spacing w:after="120"/>
        <w:jc w:val="both"/>
      </w:pPr>
      <w:r w:rsidRPr="00DF6AE1">
        <w:t>PN-EN 50174-1:2010 Technika informatyczna. Instalacja okablowania – Część 1 – Specyfikacja i zapewnienie jakości;</w:t>
      </w:r>
    </w:p>
    <w:p w:rsidR="001B2A6D" w:rsidRPr="00DF6AE1" w:rsidRDefault="001B2A6D" w:rsidP="001B2A6D">
      <w:pPr>
        <w:numPr>
          <w:ilvl w:val="0"/>
          <w:numId w:val="5"/>
        </w:numPr>
        <w:spacing w:after="120"/>
        <w:ind w:left="714" w:hanging="357"/>
        <w:jc w:val="both"/>
      </w:pPr>
      <w:r w:rsidRPr="00DF6AE1">
        <w:lastRenderedPageBreak/>
        <w:t>PN-EN 50346:2004 Technika informatyczna. Instalacja okablowania - Badanie zainstalowanego okablowania.</w:t>
      </w:r>
    </w:p>
    <w:p w:rsidR="001B2A6D" w:rsidRPr="00DF6AE1" w:rsidRDefault="001B2A6D" w:rsidP="001B2A6D">
      <w:pPr>
        <w:spacing w:after="120"/>
        <w:jc w:val="both"/>
      </w:pPr>
      <w:r w:rsidRPr="00DF6AE1">
        <w:t>System okablowania oraz wydajność komponentów musi pozostać w zgodzie z wymaganiami normy PN-EN 50173-1:2011</w:t>
      </w:r>
    </w:p>
    <w:p w:rsidR="001B2A6D" w:rsidRPr="00DF6AE1" w:rsidRDefault="001B2A6D" w:rsidP="001B2A6D">
      <w:pPr>
        <w:spacing w:after="120"/>
        <w:jc w:val="both"/>
      </w:pPr>
      <w:r w:rsidRPr="00DF6AE1">
        <w:t>Uwaga:</w:t>
      </w:r>
      <w:r w:rsidRPr="00DF6AE1">
        <w:rPr>
          <w:b/>
        </w:rPr>
        <w:t xml:space="preserve"> </w:t>
      </w:r>
      <w:r w:rsidRPr="00DF6AE1">
        <w:t>W przypadku powołań normatywnych niedatowanych obowiązuje zawsze najnowsze wydanie cytowanej normy.</w:t>
      </w:r>
    </w:p>
    <w:p w:rsidR="00A7220C" w:rsidRPr="00DF6AE1" w:rsidRDefault="00A7220C" w:rsidP="00A7220C">
      <w:pPr>
        <w:numPr>
          <w:ilvl w:val="0"/>
          <w:numId w:val="36"/>
        </w:numPr>
        <w:shd w:val="clear" w:color="auto" w:fill="FFFFFF"/>
        <w:spacing w:after="120"/>
        <w:rPr>
          <w:b/>
        </w:rPr>
      </w:pPr>
      <w:r w:rsidRPr="00DF6AE1">
        <w:rPr>
          <w:b/>
        </w:rPr>
        <w:t>Posiadanie wiedzy i doświadczenia oraz potencjału technicznego</w:t>
      </w:r>
    </w:p>
    <w:p w:rsidR="00A7220C" w:rsidRPr="00DF6AE1" w:rsidRDefault="00A7220C" w:rsidP="00A7220C">
      <w:pPr>
        <w:shd w:val="clear" w:color="auto" w:fill="FFFFFF"/>
        <w:spacing w:after="120"/>
        <w:ind w:left="360"/>
      </w:pPr>
      <w:r w:rsidRPr="00DF6AE1">
        <w:t>Wykonawcy ubiegający się o zamówienie publiczne muszą spełniać niżej wymienione warunki udziału w postępowaniu dotyczące:</w:t>
      </w:r>
    </w:p>
    <w:p w:rsidR="0068008D" w:rsidRPr="00DF6AE1" w:rsidRDefault="00A7220C" w:rsidP="00A7220C">
      <w:pPr>
        <w:numPr>
          <w:ilvl w:val="1"/>
          <w:numId w:val="11"/>
        </w:numPr>
        <w:shd w:val="clear" w:color="auto" w:fill="FFFFFF"/>
        <w:spacing w:after="120"/>
      </w:pPr>
      <w:r w:rsidRPr="00DF6AE1">
        <w:rPr>
          <w:bCs/>
          <w:color w:val="000000"/>
        </w:rPr>
        <w:t>posi</w:t>
      </w:r>
      <w:r w:rsidR="0068008D" w:rsidRPr="00DF6AE1">
        <w:rPr>
          <w:bCs/>
          <w:color w:val="000000"/>
        </w:rPr>
        <w:t xml:space="preserve">adania wiedzy i doświadczenia </w:t>
      </w:r>
    </w:p>
    <w:p w:rsidR="00A7220C" w:rsidRPr="00DF6AE1" w:rsidRDefault="0068008D" w:rsidP="0068008D">
      <w:pPr>
        <w:shd w:val="clear" w:color="auto" w:fill="FFFFFF"/>
        <w:spacing w:after="120"/>
        <w:ind w:left="1080"/>
      </w:pPr>
      <w:r w:rsidRPr="00DF6AE1">
        <w:rPr>
          <w:bCs/>
          <w:color w:val="000000"/>
        </w:rPr>
        <w:t xml:space="preserve">a. </w:t>
      </w:r>
      <w:r w:rsidR="00A7220C" w:rsidRPr="00DF6AE1">
        <w:rPr>
          <w:bCs/>
          <w:color w:val="000000"/>
        </w:rPr>
        <w:t xml:space="preserve">warunek zostanie spełniony, jeżeli wykonawca wykaże się  wykonaniem  w ciągu ostatnich trzech lat  przed dniem składania ofert, a jeżeli okres prowadzenia działalności jest krótszy – </w:t>
      </w:r>
      <w:r w:rsidR="00A7220C" w:rsidRPr="00DF6AE1">
        <w:rPr>
          <w:bCs/>
        </w:rPr>
        <w:t xml:space="preserve">w tym okresie, co najmniej 3 usług w zakresie obejmującym </w:t>
      </w:r>
      <w:r w:rsidRPr="00DF6AE1">
        <w:t>z</w:t>
      </w:r>
      <w:r w:rsidR="00A7220C" w:rsidRPr="00DF6AE1">
        <w:rPr>
          <w:color w:val="000000"/>
        </w:rPr>
        <w:t>aprojektowanie sieci okablowania strukturalnego na minimum 50 linii,</w:t>
      </w:r>
      <w:r w:rsidR="00A7220C" w:rsidRPr="00DF6AE1">
        <w:t xml:space="preserve"> </w:t>
      </w:r>
    </w:p>
    <w:p w:rsidR="0068008D" w:rsidRPr="00DF6AE1" w:rsidRDefault="00A7220C" w:rsidP="0068008D">
      <w:pPr>
        <w:numPr>
          <w:ilvl w:val="1"/>
          <w:numId w:val="11"/>
        </w:numPr>
        <w:shd w:val="clear" w:color="auto" w:fill="FFFFFF"/>
        <w:spacing w:after="120"/>
        <w:rPr>
          <w:bCs/>
        </w:rPr>
      </w:pPr>
      <w:r w:rsidRPr="00DF6AE1">
        <w:rPr>
          <w:bCs/>
          <w:color w:val="000000"/>
        </w:rPr>
        <w:t xml:space="preserve">dysponowania odpowiednim potencjałem technicznym oraz osobami zdolnymi do wykonania </w:t>
      </w:r>
      <w:r w:rsidR="0068008D" w:rsidRPr="00DF6AE1">
        <w:rPr>
          <w:bCs/>
          <w:color w:val="000000"/>
        </w:rPr>
        <w:t xml:space="preserve"> zamówienia</w:t>
      </w:r>
    </w:p>
    <w:p w:rsidR="00A7220C" w:rsidRPr="00DF6AE1" w:rsidRDefault="0068008D" w:rsidP="0068008D">
      <w:pPr>
        <w:shd w:val="clear" w:color="auto" w:fill="FFFFFF"/>
        <w:spacing w:after="120"/>
        <w:ind w:left="1080"/>
        <w:rPr>
          <w:b/>
          <w:bCs/>
          <w:kern w:val="1"/>
        </w:rPr>
      </w:pPr>
      <w:r w:rsidRPr="00DF6AE1">
        <w:rPr>
          <w:bCs/>
        </w:rPr>
        <w:t xml:space="preserve">a. </w:t>
      </w:r>
      <w:r w:rsidR="00A7220C" w:rsidRPr="00DF6AE1">
        <w:rPr>
          <w:bCs/>
        </w:rPr>
        <w:t>warunek zostanie spełniony, jeżeli wykonawca  wykaże, że będzie dysponował na etapie realizacji umowy lub przedstawi pisemne zobowiązanie innych podmiotów do udostępnienia takich osób  - co najmniej następującymi osobami:</w:t>
      </w:r>
      <w:r w:rsidRPr="00DF6AE1">
        <w:rPr>
          <w:bCs/>
        </w:rPr>
        <w:t xml:space="preserve"> </w:t>
      </w:r>
      <w:r w:rsidR="00A7220C" w:rsidRPr="00DF6AE1">
        <w:t xml:space="preserve">- projektantem posiadającym wymagane uprawnienia budowlane do projektowania bez ograniczeń w specjalności telekomunikacyjnej lub w przypadku uprawnień uzyskanych przed powstaniem tej specjalności uprawnień budowlanych w specjalności instalacyjnej w zakresie sieci, instalacji i urządzeń elektrycznych i elektroenergetycznych </w:t>
      </w:r>
      <w:r w:rsidR="00A7220C" w:rsidRPr="00DF6AE1">
        <w:rPr>
          <w:color w:val="FF0000"/>
        </w:rPr>
        <w:t xml:space="preserve"> </w:t>
      </w:r>
      <w:r w:rsidR="00A7220C" w:rsidRPr="00DF6AE1">
        <w:t>oraz posiadającym certyfikat projektanta co najmniej jednego producenta systemu okablowania strukturalnego.</w:t>
      </w:r>
    </w:p>
    <w:p w:rsidR="001B2A6D" w:rsidRPr="00DF6AE1" w:rsidRDefault="00A7220C" w:rsidP="00F01DEC">
      <w:pPr>
        <w:spacing w:after="120"/>
        <w:jc w:val="both"/>
      </w:pPr>
      <w:r w:rsidRPr="00DF6AE1">
        <w:rPr>
          <w:b/>
        </w:rPr>
        <w:t>4</w:t>
      </w:r>
      <w:r w:rsidR="00F01DEC" w:rsidRPr="00DF6AE1">
        <w:rPr>
          <w:b/>
        </w:rPr>
        <w:t>.</w:t>
      </w:r>
      <w:r w:rsidR="001B2A6D" w:rsidRPr="00DF6AE1">
        <w:rPr>
          <w:b/>
        </w:rPr>
        <w:t xml:space="preserve"> Warunki odbioru zamówienia w zakresie projektu</w:t>
      </w:r>
    </w:p>
    <w:p w:rsidR="001B2A6D" w:rsidRPr="00DF6AE1" w:rsidRDefault="001B2A6D" w:rsidP="00F01DEC">
      <w:pPr>
        <w:spacing w:after="120"/>
      </w:pPr>
      <w:r w:rsidRPr="00DF6AE1">
        <w:t>Przekazanie dokumentacji projektu w wersji elektronicznej (płyta CD, zapis w formacie pdf) w ilości jak dla całej dokumentacji (3 komplety papierowe i wersja elektroniczna) obejmującej dodatkowo:</w:t>
      </w:r>
    </w:p>
    <w:p w:rsidR="001B2A6D" w:rsidRPr="00DF6AE1" w:rsidRDefault="00F01DEC" w:rsidP="001B2A6D">
      <w:pPr>
        <w:spacing w:after="120"/>
        <w:ind w:left="720"/>
      </w:pPr>
      <w:r w:rsidRPr="00DF6AE1">
        <w:t>a.</w:t>
      </w:r>
      <w:r w:rsidR="001B2A6D" w:rsidRPr="00DF6AE1">
        <w:t xml:space="preserve">  specyfikację techniczno-ilościową będącą załącznikiem do przetargu na realizację projektu będącą w zgodzie z ustawą o zamówieniach publicznych; </w:t>
      </w:r>
    </w:p>
    <w:p w:rsidR="001B2A6D" w:rsidRPr="00DF6AE1" w:rsidRDefault="00F01DEC" w:rsidP="001B2A6D">
      <w:pPr>
        <w:spacing w:after="120"/>
        <w:ind w:left="720"/>
      </w:pPr>
      <w:r w:rsidRPr="00DF6AE1">
        <w:t>b.</w:t>
      </w:r>
      <w:r w:rsidR="001B2A6D" w:rsidRPr="00DF6AE1">
        <w:t xml:space="preserve">  kosztorys inwestorski,</w:t>
      </w:r>
    </w:p>
    <w:p w:rsidR="001B2A6D" w:rsidRPr="00DF6AE1" w:rsidRDefault="00F01DEC" w:rsidP="001B2A6D">
      <w:pPr>
        <w:spacing w:after="120"/>
        <w:ind w:left="720"/>
      </w:pPr>
      <w:r w:rsidRPr="00DF6AE1">
        <w:t>c.</w:t>
      </w:r>
      <w:r w:rsidR="001B2A6D" w:rsidRPr="00DF6AE1">
        <w:t xml:space="preserve">  tabele z wyliczoną długością linii kablowych w budynku;</w:t>
      </w:r>
    </w:p>
    <w:p w:rsidR="007D36EB" w:rsidRPr="00DF6AE1" w:rsidRDefault="00F01DEC" w:rsidP="00F01DEC">
      <w:pPr>
        <w:spacing w:after="120"/>
        <w:ind w:left="720"/>
      </w:pPr>
      <w:r w:rsidRPr="00DF6AE1">
        <w:t>d.</w:t>
      </w:r>
      <w:r w:rsidR="001B2A6D" w:rsidRPr="00DF6AE1">
        <w:t xml:space="preserve">   zobrazowanie elementów pasywnych w szafach teleinformatycznych.</w:t>
      </w:r>
    </w:p>
    <w:p w:rsidR="00761B3C" w:rsidRPr="00DF6AE1" w:rsidRDefault="00761B3C" w:rsidP="00761B3C">
      <w:pPr>
        <w:spacing w:after="120"/>
        <w:jc w:val="both"/>
        <w:rPr>
          <w:b/>
          <w:u w:val="single"/>
        </w:rPr>
      </w:pPr>
    </w:p>
    <w:sectPr w:rsidR="00761B3C" w:rsidRPr="00DF6AE1" w:rsidSect="00593C36">
      <w:type w:val="continuous"/>
      <w:pgSz w:w="11906" w:h="16838"/>
      <w:pgMar w:top="1418" w:right="1418" w:bottom="1418" w:left="1418" w:header="141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F1" w:rsidRDefault="008F75F1">
      <w:r>
        <w:separator/>
      </w:r>
    </w:p>
  </w:endnote>
  <w:endnote w:type="continuationSeparator" w:id="0">
    <w:p w:rsidR="008F75F1" w:rsidRDefault="008F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Nimbus Sans L">
    <w:altName w:val="Arial Unicode MS"/>
    <w:charset w:val="80"/>
    <w:family w:val="swiss"/>
    <w:pitch w:val="variable"/>
  </w:font>
  <w:font w:name="Droid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042029" w:usb3="00000000" w:csb0="8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F1" w:rsidRDefault="008F75F1">
      <w:r>
        <w:separator/>
      </w:r>
    </w:p>
  </w:footnote>
  <w:footnote w:type="continuationSeparator" w:id="0">
    <w:p w:rsidR="008F75F1" w:rsidRDefault="008F7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BC268B4"/>
    <w:lvl w:ilvl="0">
      <w:start w:val="1"/>
      <w:numFmt w:val="decimal"/>
      <w:pStyle w:val="Nagwek1"/>
      <w:lvlText w:val="%1"/>
      <w:lvlJc w:val="left"/>
      <w:pPr>
        <w:tabs>
          <w:tab w:val="num" w:pos="716"/>
        </w:tabs>
        <w:ind w:left="716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EE7212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lvl w:ilvl="0">
      <w:start w:val="15"/>
      <w:numFmt w:val="decimal"/>
      <w:lvlText w:val="%1)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B282403"/>
    <w:multiLevelType w:val="hybridMultilevel"/>
    <w:tmpl w:val="C84C94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8A5E6B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17E25D8F"/>
    <w:multiLevelType w:val="hybridMultilevel"/>
    <w:tmpl w:val="5DCE4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B6F46"/>
    <w:multiLevelType w:val="hybridMultilevel"/>
    <w:tmpl w:val="088E78C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33292"/>
    <w:multiLevelType w:val="hybridMultilevel"/>
    <w:tmpl w:val="7BCEFFC4"/>
    <w:lvl w:ilvl="0" w:tplc="260CF1D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21"/>
  </w:num>
  <w:num w:numId="32">
    <w:abstractNumId w:val="0"/>
  </w:num>
  <w:num w:numId="33">
    <w:abstractNumId w:val="20"/>
  </w:num>
  <w:num w:numId="34">
    <w:abstractNumId w:val="22"/>
  </w:num>
  <w:num w:numId="35">
    <w:abstractNumId w:val="2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28"/>
    <w:rsid w:val="000023B0"/>
    <w:rsid w:val="00010EC4"/>
    <w:rsid w:val="00015BC1"/>
    <w:rsid w:val="000302F9"/>
    <w:rsid w:val="00043815"/>
    <w:rsid w:val="000A0182"/>
    <w:rsid w:val="000F26B7"/>
    <w:rsid w:val="00110B24"/>
    <w:rsid w:val="00142AEF"/>
    <w:rsid w:val="00145B3E"/>
    <w:rsid w:val="00187A8A"/>
    <w:rsid w:val="001B2A6D"/>
    <w:rsid w:val="001C1622"/>
    <w:rsid w:val="001F2C0A"/>
    <w:rsid w:val="001F5114"/>
    <w:rsid w:val="002024B5"/>
    <w:rsid w:val="00260F91"/>
    <w:rsid w:val="002B1445"/>
    <w:rsid w:val="002E5582"/>
    <w:rsid w:val="003725EC"/>
    <w:rsid w:val="003F2911"/>
    <w:rsid w:val="004C74F6"/>
    <w:rsid w:val="004D3B28"/>
    <w:rsid w:val="00544B47"/>
    <w:rsid w:val="00573501"/>
    <w:rsid w:val="00593C36"/>
    <w:rsid w:val="00593DC0"/>
    <w:rsid w:val="005A00DA"/>
    <w:rsid w:val="005C1B3B"/>
    <w:rsid w:val="006214D3"/>
    <w:rsid w:val="006664FC"/>
    <w:rsid w:val="0067153D"/>
    <w:rsid w:val="0068008D"/>
    <w:rsid w:val="00761B3C"/>
    <w:rsid w:val="007657C1"/>
    <w:rsid w:val="007C0B96"/>
    <w:rsid w:val="007D1481"/>
    <w:rsid w:val="007D14E7"/>
    <w:rsid w:val="007D36EB"/>
    <w:rsid w:val="008718E6"/>
    <w:rsid w:val="008C4B31"/>
    <w:rsid w:val="008F1288"/>
    <w:rsid w:val="008F1933"/>
    <w:rsid w:val="008F75F1"/>
    <w:rsid w:val="00926A76"/>
    <w:rsid w:val="00997577"/>
    <w:rsid w:val="009D6BF2"/>
    <w:rsid w:val="00A1416A"/>
    <w:rsid w:val="00A33917"/>
    <w:rsid w:val="00A7220C"/>
    <w:rsid w:val="00AB245A"/>
    <w:rsid w:val="00AD67B9"/>
    <w:rsid w:val="00B436E3"/>
    <w:rsid w:val="00B63683"/>
    <w:rsid w:val="00B73C98"/>
    <w:rsid w:val="00BE72EF"/>
    <w:rsid w:val="00C03CFF"/>
    <w:rsid w:val="00C21FBA"/>
    <w:rsid w:val="00C233C6"/>
    <w:rsid w:val="00C4556B"/>
    <w:rsid w:val="00C86DE9"/>
    <w:rsid w:val="00D53C69"/>
    <w:rsid w:val="00D560AB"/>
    <w:rsid w:val="00D90751"/>
    <w:rsid w:val="00DE6488"/>
    <w:rsid w:val="00DF6AE1"/>
    <w:rsid w:val="00E137AF"/>
    <w:rsid w:val="00E20453"/>
    <w:rsid w:val="00E42B15"/>
    <w:rsid w:val="00EA06FA"/>
    <w:rsid w:val="00EE5847"/>
    <w:rsid w:val="00F01DEC"/>
    <w:rsid w:val="00F11F63"/>
    <w:rsid w:val="00F5103D"/>
    <w:rsid w:val="00F52111"/>
    <w:rsid w:val="00F7026D"/>
    <w:rsid w:val="00FA19DF"/>
    <w:rsid w:val="00FD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  <w:sz w:val="31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b w:val="0"/>
      <w:sz w:val="24"/>
      <w:szCs w:val="24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7z1">
    <w:name w:val="WW8Num7z1"/>
    <w:rPr>
      <w:b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Hipercze">
    <w:name w:val="Hyperlink"/>
    <w:uiPriority w:val="99"/>
    <w:rPr>
      <w:color w:val="000080"/>
      <w:u w:val="single"/>
      <w:lang/>
    </w:rPr>
  </w:style>
  <w:style w:type="character" w:customStyle="1" w:styleId="czeindeksu">
    <w:name w:val="Łącze indeksu"/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Nimbus Sans L" w:eastAsia="Droid Sans" w:hAnsi="Nimbus Sans L" w:cs="Free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Nimbus Sans L" w:eastAsia="Droid Sans" w:hAnsi="Nimbus Sans L" w:cs="DejaVu Sans"/>
      <w:sz w:val="28"/>
      <w:szCs w:val="28"/>
    </w:rPr>
  </w:style>
  <w:style w:type="paragraph" w:styleId="Nagwekwykazurde">
    <w:name w:val="toa heading"/>
    <w:basedOn w:val="Nagwek"/>
    <w:pPr>
      <w:suppressLineNumbers/>
      <w:spacing w:before="0" w:after="0"/>
    </w:pPr>
    <w:rPr>
      <w:b/>
      <w:bCs/>
      <w:sz w:val="32"/>
      <w:szCs w:val="32"/>
    </w:rPr>
  </w:style>
  <w:style w:type="paragraph" w:styleId="Spistreci1">
    <w:name w:val="toc 1"/>
    <w:basedOn w:val="Indeks"/>
    <w:uiPriority w:val="39"/>
    <w:pPr>
      <w:tabs>
        <w:tab w:val="right" w:leader="dot" w:pos="9072"/>
      </w:tabs>
    </w:pPr>
  </w:style>
  <w:style w:type="paragraph" w:styleId="Spistreci2">
    <w:name w:val="toc 2"/>
    <w:basedOn w:val="Indeks"/>
    <w:uiPriority w:val="39"/>
    <w:pPr>
      <w:tabs>
        <w:tab w:val="right" w:leader="dot" w:pos="8789"/>
      </w:tabs>
      <w:ind w:left="283"/>
    </w:pPr>
  </w:style>
  <w:style w:type="paragraph" w:styleId="Stopka">
    <w:name w:val="footer"/>
    <w:basedOn w:val="Normalny"/>
    <w:rsid w:val="00593C36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A7220C"/>
    <w:pPr>
      <w:widowControl w:val="0"/>
      <w:suppressAutoHyphens w:val="0"/>
      <w:spacing w:before="100" w:after="100"/>
      <w:ind w:left="360" w:right="360"/>
    </w:pPr>
    <w:rPr>
      <w:rFonts w:eastAsia="Calibri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  <w:sz w:val="31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b w:val="0"/>
      <w:sz w:val="24"/>
      <w:szCs w:val="24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7z1">
    <w:name w:val="WW8Num7z1"/>
    <w:rPr>
      <w:b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Hipercze">
    <w:name w:val="Hyperlink"/>
    <w:uiPriority w:val="99"/>
    <w:rPr>
      <w:color w:val="000080"/>
      <w:u w:val="single"/>
      <w:lang/>
    </w:rPr>
  </w:style>
  <w:style w:type="character" w:customStyle="1" w:styleId="czeindeksu">
    <w:name w:val="Łącze indeksu"/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Nimbus Sans L" w:eastAsia="Droid Sans" w:hAnsi="Nimbus Sans L" w:cs="Free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Nimbus Sans L" w:eastAsia="Droid Sans" w:hAnsi="Nimbus Sans L" w:cs="DejaVu Sans"/>
      <w:sz w:val="28"/>
      <w:szCs w:val="28"/>
    </w:rPr>
  </w:style>
  <w:style w:type="paragraph" w:styleId="Nagwekwykazurde">
    <w:name w:val="toa heading"/>
    <w:basedOn w:val="Nagwek"/>
    <w:pPr>
      <w:suppressLineNumbers/>
      <w:spacing w:before="0" w:after="0"/>
    </w:pPr>
    <w:rPr>
      <w:b/>
      <w:bCs/>
      <w:sz w:val="32"/>
      <w:szCs w:val="32"/>
    </w:rPr>
  </w:style>
  <w:style w:type="paragraph" w:styleId="Spistreci1">
    <w:name w:val="toc 1"/>
    <w:basedOn w:val="Indeks"/>
    <w:uiPriority w:val="39"/>
    <w:pPr>
      <w:tabs>
        <w:tab w:val="right" w:leader="dot" w:pos="9072"/>
      </w:tabs>
    </w:pPr>
  </w:style>
  <w:style w:type="paragraph" w:styleId="Spistreci2">
    <w:name w:val="toc 2"/>
    <w:basedOn w:val="Indeks"/>
    <w:uiPriority w:val="39"/>
    <w:pPr>
      <w:tabs>
        <w:tab w:val="right" w:leader="dot" w:pos="8789"/>
      </w:tabs>
      <w:ind w:left="283"/>
    </w:pPr>
  </w:style>
  <w:style w:type="paragraph" w:styleId="Stopka">
    <w:name w:val="footer"/>
    <w:basedOn w:val="Normalny"/>
    <w:rsid w:val="00593C36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A7220C"/>
    <w:pPr>
      <w:widowControl w:val="0"/>
      <w:suppressAutoHyphens w:val="0"/>
      <w:spacing w:before="100" w:after="100"/>
      <w:ind w:left="360" w:right="360"/>
    </w:pPr>
    <w:rPr>
      <w:rFonts w:eastAsia="Calibri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projektu:</vt:lpstr>
    </vt:vector>
  </TitlesOfParts>
  <Company>IPJ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projektu:</dc:title>
  <dc:subject/>
  <dc:creator>Jacek Szlachciak</dc:creator>
  <cp:keywords/>
  <cp:lastModifiedBy>Urząd Miasta Świnoujścia</cp:lastModifiedBy>
  <cp:revision>2</cp:revision>
  <cp:lastPrinted>2014-03-31T11:02:00Z</cp:lastPrinted>
  <dcterms:created xsi:type="dcterms:W3CDTF">2014-03-31T11:31:00Z</dcterms:created>
  <dcterms:modified xsi:type="dcterms:W3CDTF">2014-03-31T11:31:00Z</dcterms:modified>
</cp:coreProperties>
</file>