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z dnia dd.mm.rrrr</w:t>
      </w:r>
    </w:p>
    <w:p w14:paraId="6A6AB90A" w14:textId="77777777" w:rsidR="006844A7" w:rsidRDefault="006844A7" w:rsidP="006844A7">
      <w:pPr>
        <w:rPr>
          <w:b/>
          <w:color w:val="000000"/>
        </w:rPr>
      </w:pPr>
    </w:p>
    <w:p w14:paraId="43DBBB85" w14:textId="77777777" w:rsidR="00F7388A" w:rsidRPr="00234EEA" w:rsidRDefault="00F7388A"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0BBAD6E5"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54714D">
        <w:rPr>
          <w:rFonts w:ascii="Times New Roman" w:hAnsi="Times New Roman"/>
          <w:sz w:val="24"/>
          <w:szCs w:val="24"/>
        </w:rPr>
        <w:t>3</w:t>
      </w:r>
      <w:r>
        <w:rPr>
          <w:rFonts w:ascii="Times New Roman" w:hAnsi="Times New Roman"/>
          <w:sz w:val="24"/>
          <w:szCs w:val="24"/>
        </w:rPr>
        <w:t>.201</w:t>
      </w:r>
      <w:r w:rsidR="0054714D">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w:t>
      </w:r>
      <w:r w:rsidR="0054714D">
        <w:rPr>
          <w:rFonts w:ascii="Times New Roman" w:hAnsi="Times New Roman"/>
          <w:sz w:val="24"/>
          <w:szCs w:val="24"/>
        </w:rPr>
        <w:t>7</w:t>
      </w:r>
      <w:r w:rsidRPr="00A138E1">
        <w:rPr>
          <w:rFonts w:ascii="Times New Roman" w:hAnsi="Times New Roman"/>
          <w:sz w:val="24"/>
          <w:szCs w:val="24"/>
        </w:rPr>
        <w:t xml:space="preserve"> r. poz. </w:t>
      </w:r>
      <w:r w:rsidR="0054714D">
        <w:rPr>
          <w:rFonts w:ascii="Times New Roman" w:hAnsi="Times New Roman"/>
          <w:sz w:val="24"/>
          <w:szCs w:val="24"/>
        </w:rPr>
        <w:t>1579</w:t>
      </w:r>
      <w:r>
        <w:rPr>
          <w:rFonts w:ascii="Times New Roman" w:hAnsi="Times New Roman"/>
          <w:sz w:val="24"/>
          <w:szCs w:val="24"/>
        </w:rPr>
        <w:t xml:space="preserve"> z późn.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Default="00DA3831">
      <w:pPr>
        <w:pStyle w:val="Tekstpodstawowy"/>
        <w:jc w:val="both"/>
        <w:rPr>
          <w:i w:val="0"/>
          <w:color w:val="000000"/>
          <w:spacing w:val="0"/>
        </w:rPr>
      </w:pPr>
    </w:p>
    <w:p w14:paraId="3C5FD784" w14:textId="77777777" w:rsidR="00F7388A" w:rsidRPr="007660A7" w:rsidRDefault="00F7388A">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77777777"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zadanie pn.: </w:t>
      </w:r>
      <w:r w:rsidRPr="00247AD6">
        <w:rPr>
          <w:i w:val="0"/>
        </w:rPr>
        <w:t xml:space="preserve">„Przebudowa dróg powiatowych </w:t>
      </w:r>
      <w:r w:rsidRPr="00247AD6">
        <w:rPr>
          <w:bCs/>
          <w:i w:val="0"/>
          <w:spacing w:val="-4"/>
          <w:lang w:eastAsia="ar-SA"/>
        </w:rPr>
        <w:t xml:space="preserve">w Świnoujściu - </w:t>
      </w:r>
      <w:r w:rsidR="00247AD6" w:rsidRPr="00247AD6">
        <w:rPr>
          <w:i w:val="0"/>
          <w:spacing w:val="-4"/>
          <w:lang w:eastAsia="ar-SA"/>
        </w:rPr>
        <w:t>poprawa bezpieczeństwa ruchu drogowego na ul. Pomorskiej</w:t>
      </w:r>
      <w:r>
        <w:rPr>
          <w:bCs/>
          <w:i w:val="0"/>
          <w:spacing w:val="-4"/>
          <w:lang w:eastAsia="ar-SA"/>
        </w:rPr>
        <w:t>”.</w:t>
      </w:r>
    </w:p>
    <w:p w14:paraId="026C6EC3" w14:textId="32BD5A58" w:rsidR="00611BC3" w:rsidRPr="00605EC7" w:rsidRDefault="00611BC3" w:rsidP="00164F0A">
      <w:pPr>
        <w:pStyle w:val="Tekstpodstawowy"/>
        <w:numPr>
          <w:ilvl w:val="0"/>
          <w:numId w:val="5"/>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sidR="00921970">
        <w:rPr>
          <w:i w:val="0"/>
        </w:rPr>
        <w:t xml:space="preserve"> wg wykazu stanowiącego załącznik nr </w:t>
      </w:r>
      <w:r w:rsidR="000A6F7E">
        <w:rPr>
          <w:i w:val="0"/>
        </w:rPr>
        <w:t>4</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50C90AE1"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474F84">
        <w:rPr>
          <w:b w:val="0"/>
          <w:color w:val="000000"/>
          <w:spacing w:val="0"/>
          <w:sz w:val="24"/>
        </w:rPr>
        <w:t>90</w:t>
      </w:r>
      <w:r w:rsidR="0067733A">
        <w:rPr>
          <w:b w:val="0"/>
          <w:color w:val="000000"/>
          <w:spacing w:val="0"/>
          <w:sz w:val="24"/>
        </w:rPr>
        <w:t xml:space="preserve"> dni od daty przekazania placu budowy</w:t>
      </w:r>
      <w:r w:rsidR="003A55BF">
        <w:rPr>
          <w:b w:val="0"/>
          <w:color w:val="000000"/>
          <w:spacing w:val="0"/>
          <w:sz w:val="24"/>
        </w:rPr>
        <w:t>.</w:t>
      </w:r>
    </w:p>
    <w:p w14:paraId="73FCE883" w14:textId="77777777" w:rsidR="0067733A" w:rsidRDefault="0067733A" w:rsidP="0067733A">
      <w:pPr>
        <w:pStyle w:val="Tytu"/>
        <w:jc w:val="left"/>
        <w:rPr>
          <w:b w:val="0"/>
          <w:color w:val="000000"/>
          <w:spacing w:val="0"/>
          <w:sz w:val="24"/>
        </w:rPr>
      </w:pPr>
    </w:p>
    <w:p w14:paraId="2C18CB58" w14:textId="77777777" w:rsidR="00921970" w:rsidRDefault="00921970">
      <w:pPr>
        <w:pStyle w:val="Tytu"/>
        <w:spacing w:line="360" w:lineRule="auto"/>
        <w:rPr>
          <w:color w:val="000000"/>
          <w:sz w:val="24"/>
        </w:rPr>
      </w:pPr>
    </w:p>
    <w:p w14:paraId="4E3DC6FF" w14:textId="77777777" w:rsidR="00921970" w:rsidRDefault="00921970">
      <w:pPr>
        <w:pStyle w:val="Tytu"/>
        <w:spacing w:line="360" w:lineRule="auto"/>
        <w:rPr>
          <w:color w:val="000000"/>
          <w:sz w:val="24"/>
        </w:rPr>
      </w:pPr>
    </w:p>
    <w:p w14:paraId="57859F1E" w14:textId="77777777" w:rsidR="00F7388A" w:rsidRDefault="00F7388A">
      <w:pPr>
        <w:pStyle w:val="Tytu"/>
        <w:spacing w:line="360" w:lineRule="auto"/>
        <w:rPr>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41E6C2A2" w14:textId="53E4863F" w:rsidR="00EF4DE4" w:rsidRPr="00EF4DE4" w:rsidRDefault="00EF4DE4" w:rsidP="00EF4DE4">
      <w:pPr>
        <w:numPr>
          <w:ilvl w:val="0"/>
          <w:numId w:val="47"/>
        </w:numPr>
        <w:spacing w:line="276" w:lineRule="auto"/>
        <w:ind w:left="426" w:hanging="426"/>
        <w:jc w:val="both"/>
        <w:rPr>
          <w:spacing w:val="-3"/>
          <w:sz w:val="22"/>
          <w:szCs w:val="20"/>
        </w:rPr>
      </w:pPr>
      <w:r w:rsidRPr="00EF4DE4">
        <w:rPr>
          <w:rFonts w:eastAsia="Calibri"/>
          <w:color w:val="000000"/>
          <w:spacing w:val="-3"/>
          <w:szCs w:val="22"/>
          <w:lang w:eastAsia="en-US"/>
        </w:rPr>
        <w:t xml:space="preserve">Wynagrodzenie </w:t>
      </w:r>
      <w:r w:rsidRPr="00EF4DE4">
        <w:rPr>
          <w:color w:val="000000"/>
          <w:spacing w:val="-3"/>
          <w:szCs w:val="20"/>
        </w:rPr>
        <w:t>kosztorysowe zgodnie z ofertą cenową Wykonawcy, wynosi (łącznie z</w:t>
      </w:r>
      <w:r w:rsidR="000E6EBE">
        <w:rPr>
          <w:color w:val="000000"/>
          <w:spacing w:val="-3"/>
          <w:szCs w:val="20"/>
        </w:rPr>
        <w:t> </w:t>
      </w:r>
      <w:r w:rsidRPr="00EF4DE4">
        <w:rPr>
          <w:color w:val="000000"/>
          <w:spacing w:val="-3"/>
          <w:szCs w:val="20"/>
        </w:rPr>
        <w:t>podatkiem VAT) …………….. zł (słownie: …………………………………………../100) i obejmuje wszystkie koszty związane z</w:t>
      </w:r>
      <w:r w:rsidR="000E6EBE">
        <w:rPr>
          <w:color w:val="000000"/>
          <w:spacing w:val="-3"/>
          <w:szCs w:val="20"/>
        </w:rPr>
        <w:t> </w:t>
      </w:r>
      <w:r w:rsidRPr="00EF4DE4">
        <w:rPr>
          <w:color w:val="000000"/>
          <w:spacing w:val="-3"/>
          <w:szCs w:val="20"/>
        </w:rPr>
        <w:t>realizacją przedmiotu niniejszej umowy.</w:t>
      </w:r>
    </w:p>
    <w:p w14:paraId="4CC59273" w14:textId="16E71F61" w:rsidR="00EF4DE4" w:rsidRPr="00EF4DE4" w:rsidRDefault="00EF4DE4" w:rsidP="00EF4DE4">
      <w:pPr>
        <w:numPr>
          <w:ilvl w:val="0"/>
          <w:numId w:val="47"/>
        </w:numPr>
        <w:spacing w:line="276" w:lineRule="auto"/>
        <w:ind w:left="426" w:hanging="426"/>
        <w:contextualSpacing/>
        <w:jc w:val="both"/>
        <w:rPr>
          <w:color w:val="000000"/>
          <w:szCs w:val="20"/>
        </w:rPr>
      </w:pPr>
      <w:r w:rsidRPr="00EF4DE4">
        <w:rPr>
          <w:color w:val="000000"/>
          <w:szCs w:val="20"/>
        </w:rPr>
        <w:t>Zamawiający za wykonany przedmiot umowy zapłaci Wykonawcy wynagrodzenie kosztorysowe ustalone na podstawie oferty Wykonawcy oraz sprawdzonych i</w:t>
      </w:r>
      <w:r w:rsidR="000E6EBE">
        <w:rPr>
          <w:color w:val="000000"/>
          <w:szCs w:val="20"/>
        </w:rPr>
        <w:t> </w:t>
      </w:r>
      <w:r w:rsidRPr="00EF4DE4">
        <w:rPr>
          <w:color w:val="000000"/>
          <w:szCs w:val="20"/>
        </w:rPr>
        <w:t>potwierdzonych obmiarów rzeczywiście wykonanych ilości robót oraz cen jednostkowych zawartych w załączniku nr 2 – niezmiennych w czasie realizacji umowy lub cen jednostkowych ustalonych według zasad opisanych w § 15 ust. 5 pkt 2) do 5) niniejszej umowy w przypadkach tam wskazanych.</w:t>
      </w:r>
    </w:p>
    <w:p w14:paraId="52901833" w14:textId="23264D75" w:rsidR="00EF4DE4" w:rsidRPr="00EF4DE4" w:rsidRDefault="00EF4DE4" w:rsidP="00EF4DE4">
      <w:pPr>
        <w:numPr>
          <w:ilvl w:val="0"/>
          <w:numId w:val="47"/>
        </w:numPr>
        <w:ind w:left="426" w:hanging="426"/>
        <w:jc w:val="both"/>
        <w:rPr>
          <w:bCs/>
          <w:color w:val="000000"/>
          <w:lang w:eastAsia="ar-SA"/>
        </w:rPr>
      </w:pPr>
      <w:r w:rsidRPr="00EF4DE4">
        <w:rPr>
          <w:bCs/>
          <w:color w:val="000000"/>
          <w:lang w:eastAsia="ar-SA"/>
        </w:rPr>
        <w:t>Obliczona przez Wykonawcę cena oferty powinna zawierać wszystkie koszty bezpośrednie i pośrednie, jakie Wykonawca uważa za niezbędne dla terminowego i</w:t>
      </w:r>
      <w:r w:rsidR="002F4372">
        <w:rPr>
          <w:bCs/>
          <w:color w:val="000000"/>
          <w:lang w:eastAsia="ar-SA"/>
        </w:rPr>
        <w:t> </w:t>
      </w:r>
      <w:r w:rsidRPr="00EF4DE4">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EF4DE4" w:rsidRDefault="00EF4DE4" w:rsidP="00EF4DE4">
      <w:pPr>
        <w:numPr>
          <w:ilvl w:val="0"/>
          <w:numId w:val="47"/>
        </w:numPr>
        <w:spacing w:line="276" w:lineRule="auto"/>
        <w:ind w:left="426" w:hanging="426"/>
        <w:jc w:val="both"/>
        <w:rPr>
          <w:spacing w:val="-3"/>
          <w:sz w:val="22"/>
          <w:szCs w:val="20"/>
        </w:rPr>
      </w:pPr>
      <w:r w:rsidRPr="00EF4DE4">
        <w:rPr>
          <w:bCs/>
          <w:color w:val="000000"/>
          <w:spacing w:val="-3"/>
          <w:lang w:eastAsia="ar-SA"/>
        </w:rPr>
        <w:t>Nie przewiduje się zaliczek na poczet wydatków Wykonawcy, związanych z realizacją niniejszej umowy.</w:t>
      </w:r>
    </w:p>
    <w:p w14:paraId="17FC12C1" w14:textId="246D5692" w:rsidR="00EF4DE4" w:rsidRPr="00EF4DE4" w:rsidRDefault="00EF4DE4" w:rsidP="00EF4DE4">
      <w:pPr>
        <w:numPr>
          <w:ilvl w:val="0"/>
          <w:numId w:val="47"/>
        </w:numPr>
        <w:spacing w:line="276" w:lineRule="auto"/>
        <w:ind w:left="425" w:hanging="425"/>
        <w:contextualSpacing/>
        <w:jc w:val="both"/>
        <w:rPr>
          <w:rFonts w:eastAsia="Calibri"/>
          <w:bCs/>
          <w:color w:val="000000"/>
          <w:lang w:eastAsia="ar-SA"/>
        </w:rPr>
      </w:pPr>
      <w:r w:rsidRPr="00EF4DE4">
        <w:rPr>
          <w:rFonts w:eastAsia="Calibri"/>
          <w:bCs/>
          <w:color w:val="000000"/>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w:t>
      </w:r>
      <w:r w:rsidR="002F4372">
        <w:rPr>
          <w:rFonts w:eastAsia="Calibri"/>
          <w:bCs/>
          <w:color w:val="000000"/>
          <w:lang w:eastAsia="ar-SA"/>
        </w:rPr>
        <w:t> </w:t>
      </w:r>
      <w:r w:rsidRPr="00EF4DE4">
        <w:rPr>
          <w:rFonts w:eastAsia="Calibri"/>
          <w:bCs/>
          <w:color w:val="000000"/>
          <w:lang w:eastAsia="ar-SA"/>
        </w:rPr>
        <w:t>podstawie faktury końcowej.</w:t>
      </w:r>
    </w:p>
    <w:p w14:paraId="3C6845C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Suma faktur częściowych nie może przekroczyć 90% wartości wynagrodzenia szacunkowego brutto, określonego w ust. 1 niniejszego paragrafu.</w:t>
      </w:r>
    </w:p>
    <w:p w14:paraId="074926E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częściowej jest przejściowy protokół zaawansowania wykonanych robót, podpisany przez kierownika budowy oraz Inżyniera Kontraktu ustanowionego przez Zamawiającego.</w:t>
      </w:r>
    </w:p>
    <w:p w14:paraId="1C66365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EF4DE4" w:rsidRDefault="00EF4DE4" w:rsidP="00EF4DE4">
      <w:pPr>
        <w:numPr>
          <w:ilvl w:val="0"/>
          <w:numId w:val="47"/>
        </w:numPr>
        <w:spacing w:line="276" w:lineRule="auto"/>
        <w:ind w:left="426" w:hanging="426"/>
        <w:jc w:val="both"/>
        <w:rPr>
          <w:szCs w:val="20"/>
        </w:rPr>
      </w:pPr>
      <w:r w:rsidRPr="00EF4DE4">
        <w:rPr>
          <w:bCs/>
          <w:color w:val="000000"/>
          <w:lang w:eastAsia="ar-SA"/>
        </w:rPr>
        <w:t xml:space="preserve">Płatność będzie dokonana przez Zamawiającego w ciągu 21 dni od daty doręczenia Zamawiającemu </w:t>
      </w:r>
      <w:r w:rsidRPr="00EF4DE4">
        <w:rPr>
          <w:szCs w:val="20"/>
        </w:rPr>
        <w:t>faktury częściowej lub końcowej.</w:t>
      </w:r>
    </w:p>
    <w:p w14:paraId="3CB656B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color w:val="000000"/>
        </w:rPr>
        <w:t>Wykonawca</w:t>
      </w:r>
      <w:r w:rsidRPr="00EF4DE4">
        <w:rPr>
          <w:bCs/>
          <w:color w:val="000000"/>
          <w:lang w:eastAsia="ar-SA"/>
        </w:rPr>
        <w:t xml:space="preserve"> wystawia fakturę na: </w:t>
      </w:r>
      <w:r w:rsidRPr="00EF4DE4">
        <w:rPr>
          <w:b/>
          <w:bCs/>
          <w:color w:val="000000"/>
          <w:lang w:eastAsia="ar-SA"/>
        </w:rPr>
        <w:t>Gmina-Miasto Świnoujście,</w:t>
      </w:r>
      <w:r w:rsidRPr="00EF4DE4">
        <w:rPr>
          <w:bCs/>
          <w:color w:val="000000"/>
          <w:lang w:eastAsia="ar-SA"/>
        </w:rPr>
        <w:t xml:space="preserve"> ul. Wojska Polskiego 1/5, 72-600 Świnoujście, NIP 855-15-71-375.</w:t>
      </w:r>
    </w:p>
    <w:p w14:paraId="3A299E9F"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Wykonawca oświadcza, że jest podatnikiem podatku VAT.</w:t>
      </w:r>
    </w:p>
    <w:p w14:paraId="69B70211" w14:textId="77777777" w:rsidR="00EF4DE4" w:rsidRPr="00EF4DE4" w:rsidRDefault="00EF4DE4" w:rsidP="00EF4DE4">
      <w:pPr>
        <w:numPr>
          <w:ilvl w:val="0"/>
          <w:numId w:val="47"/>
        </w:numPr>
        <w:spacing w:line="276" w:lineRule="auto"/>
        <w:ind w:left="426" w:hanging="426"/>
        <w:jc w:val="both"/>
        <w:rPr>
          <w:color w:val="000000"/>
          <w:szCs w:val="20"/>
        </w:rPr>
      </w:pPr>
      <w:r w:rsidRPr="00EF4DE4">
        <w:t>Za dzień zapłaty uważa się dzień obciążenia rachunku Zamawiającego.</w:t>
      </w:r>
    </w:p>
    <w:p w14:paraId="2CD72AE2" w14:textId="77777777" w:rsidR="00EF4DE4" w:rsidRPr="00F7388A" w:rsidRDefault="00EF4DE4" w:rsidP="00EF4DE4">
      <w:pPr>
        <w:numPr>
          <w:ilvl w:val="0"/>
          <w:numId w:val="47"/>
        </w:numPr>
        <w:spacing w:line="276" w:lineRule="auto"/>
        <w:ind w:left="426" w:hanging="426"/>
        <w:jc w:val="both"/>
        <w:rPr>
          <w:color w:val="000000"/>
          <w:szCs w:val="20"/>
        </w:rPr>
      </w:pPr>
      <w:r w:rsidRPr="00EF4DE4">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Pr="00EF4DE4" w:rsidRDefault="00F7388A" w:rsidP="00F7388A">
      <w:pPr>
        <w:spacing w:line="276" w:lineRule="auto"/>
        <w:jc w:val="both"/>
        <w:rPr>
          <w:color w:val="000000"/>
          <w:szCs w:val="20"/>
        </w:rPr>
      </w:pPr>
    </w:p>
    <w:p w14:paraId="5594D85F" w14:textId="77777777" w:rsidR="00EF4DE4" w:rsidRPr="00EF4DE4" w:rsidRDefault="00EF4DE4" w:rsidP="00EF4DE4">
      <w:pPr>
        <w:numPr>
          <w:ilvl w:val="0"/>
          <w:numId w:val="47"/>
        </w:numPr>
        <w:spacing w:line="276" w:lineRule="auto"/>
        <w:ind w:left="426" w:hanging="426"/>
        <w:jc w:val="both"/>
        <w:rPr>
          <w:color w:val="000000"/>
          <w:szCs w:val="20"/>
        </w:rPr>
      </w:pPr>
      <w:r w:rsidRPr="00EF4DE4">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EF4DE4" w:rsidRDefault="00EF4DE4" w:rsidP="00EF4DE4">
      <w:pPr>
        <w:numPr>
          <w:ilvl w:val="0"/>
          <w:numId w:val="47"/>
        </w:numPr>
        <w:spacing w:line="276" w:lineRule="auto"/>
        <w:ind w:left="426" w:hanging="426"/>
        <w:jc w:val="both"/>
        <w:rPr>
          <w:color w:val="000000"/>
          <w:szCs w:val="20"/>
        </w:rPr>
      </w:pPr>
      <w:r w:rsidRPr="00EF4DE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EF4DE4" w:rsidRDefault="00EF4DE4" w:rsidP="00EF4DE4">
      <w:pPr>
        <w:numPr>
          <w:ilvl w:val="0"/>
          <w:numId w:val="47"/>
        </w:numPr>
        <w:spacing w:line="276" w:lineRule="auto"/>
        <w:ind w:left="426" w:hanging="426"/>
        <w:jc w:val="both"/>
        <w:rPr>
          <w:color w:val="000000"/>
          <w:szCs w:val="20"/>
        </w:rPr>
      </w:pPr>
      <w:r w:rsidRPr="00EF4DE4">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77777777" w:rsidR="00EF4DE4" w:rsidRPr="00EF4DE4" w:rsidRDefault="00EF4DE4" w:rsidP="00EF4DE4">
      <w:pPr>
        <w:numPr>
          <w:ilvl w:val="0"/>
          <w:numId w:val="47"/>
        </w:numPr>
        <w:spacing w:line="276" w:lineRule="auto"/>
        <w:ind w:left="426" w:hanging="426"/>
        <w:jc w:val="both"/>
        <w:rPr>
          <w:color w:val="000000"/>
          <w:szCs w:val="20"/>
        </w:rPr>
      </w:pPr>
      <w:r w:rsidRPr="00EF4DE4">
        <w:t>W przypadku zgłoszenia przez Wykonawcę uwag, o których mowa w ust. 15 podważających zasadność bezpośredniej zapłaty, Zamawiający może:</w:t>
      </w:r>
    </w:p>
    <w:p w14:paraId="24AB6E25" w14:textId="77777777" w:rsidR="00EF4DE4" w:rsidRPr="00EF4DE4" w:rsidRDefault="00EF4DE4" w:rsidP="00EF4DE4">
      <w:pPr>
        <w:numPr>
          <w:ilvl w:val="0"/>
          <w:numId w:val="28"/>
        </w:numPr>
        <w:spacing w:line="276" w:lineRule="auto"/>
        <w:ind w:left="851" w:hanging="425"/>
        <w:jc w:val="both"/>
      </w:pPr>
      <w:r w:rsidRPr="00EF4DE4">
        <w:t>nie dokonać bezpośredniej zapłaty wynagrodzenia Podwykonawcy, jeżeli Wykonawca wykaże niezasadność takiej zapłaty lub,</w:t>
      </w:r>
    </w:p>
    <w:p w14:paraId="5FAD3F1B" w14:textId="77777777" w:rsidR="00EF4DE4" w:rsidRPr="00EF4DE4" w:rsidRDefault="00EF4DE4" w:rsidP="00EF4DE4">
      <w:pPr>
        <w:numPr>
          <w:ilvl w:val="0"/>
          <w:numId w:val="28"/>
        </w:numPr>
        <w:spacing w:line="276" w:lineRule="auto"/>
        <w:ind w:left="851" w:hanging="425"/>
        <w:jc w:val="both"/>
      </w:pPr>
      <w:r w:rsidRPr="00EF4DE4">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EF4DE4" w:rsidRDefault="00EF4DE4" w:rsidP="00EF4DE4">
      <w:pPr>
        <w:numPr>
          <w:ilvl w:val="0"/>
          <w:numId w:val="28"/>
        </w:numPr>
        <w:spacing w:line="276" w:lineRule="auto"/>
        <w:ind w:left="851" w:hanging="425"/>
        <w:jc w:val="both"/>
      </w:pPr>
      <w:r w:rsidRPr="00EF4DE4">
        <w:t>dokonać bezpośredniej zapłaty wynagrodzenia Podwykonawcy lub dalszemu Podwykonawcy, jeżeli Podwykonawca lub dalszy Podwykonawca wykaże zasadność takiej zapłaty.</w:t>
      </w:r>
    </w:p>
    <w:p w14:paraId="7CA1D983" w14:textId="77777777" w:rsidR="00EF4DE4" w:rsidRPr="00EF4DE4" w:rsidRDefault="00EF4DE4" w:rsidP="00EF4DE4">
      <w:pPr>
        <w:numPr>
          <w:ilvl w:val="0"/>
          <w:numId w:val="47"/>
        </w:numPr>
        <w:spacing w:line="276" w:lineRule="auto"/>
        <w:ind w:left="426" w:hanging="426"/>
        <w:jc w:val="both"/>
        <w:rPr>
          <w:color w:val="000000"/>
          <w:szCs w:val="20"/>
        </w:rPr>
      </w:pPr>
      <w:r w:rsidRPr="00EF4DE4">
        <w:t>Bezpośrednia zapłata obejmuje wyłącznie należne wynagrodzenie, bez odsetek należnych Podwykonawcy lub dalszemu Podwykonawcy z tytułu uchybienia terminowi zapłaty.</w:t>
      </w:r>
    </w:p>
    <w:p w14:paraId="682277C4" w14:textId="77777777" w:rsidR="00EF4DE4" w:rsidRPr="00EF4DE4" w:rsidRDefault="00EF4DE4" w:rsidP="00EF4DE4">
      <w:pPr>
        <w:numPr>
          <w:ilvl w:val="0"/>
          <w:numId w:val="47"/>
        </w:numPr>
        <w:spacing w:line="276" w:lineRule="auto"/>
        <w:ind w:left="426" w:hanging="426"/>
        <w:jc w:val="both"/>
        <w:rPr>
          <w:color w:val="000000"/>
          <w:szCs w:val="20"/>
        </w:rPr>
      </w:pPr>
      <w:r w:rsidRPr="00EF4DE4">
        <w:t>Równowartość kwoty zapłaconej Podwykonawcy lub dalszemu Podwykonawcy, bądź skierowanej do depozytu sądowego, Zamawiający potrąci z wynagrodzenia należnego Wykonawcy.</w:t>
      </w:r>
    </w:p>
    <w:p w14:paraId="0D5979BD" w14:textId="77777777" w:rsidR="00EF4DE4" w:rsidRPr="00EF4DE4" w:rsidRDefault="00EF4DE4" w:rsidP="00EF4DE4">
      <w:pPr>
        <w:numPr>
          <w:ilvl w:val="0"/>
          <w:numId w:val="47"/>
        </w:numPr>
        <w:spacing w:line="276" w:lineRule="auto"/>
        <w:ind w:left="426" w:hanging="426"/>
        <w:jc w:val="both"/>
        <w:rPr>
          <w:color w:val="000000"/>
          <w:szCs w:val="20"/>
        </w:rPr>
      </w:pPr>
      <w:r w:rsidRPr="00EF4DE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Default="00EF4DE4" w:rsidP="00EF4DE4">
      <w:pPr>
        <w:spacing w:line="276" w:lineRule="auto"/>
        <w:ind w:left="426" w:hanging="426"/>
        <w:jc w:val="both"/>
        <w:rPr>
          <w:color w:val="000000"/>
          <w:szCs w:val="20"/>
        </w:rPr>
      </w:pPr>
    </w:p>
    <w:p w14:paraId="05E0D029" w14:textId="77777777" w:rsidR="00F7388A" w:rsidRDefault="00F7388A" w:rsidP="00EF4DE4">
      <w:pPr>
        <w:spacing w:line="276" w:lineRule="auto"/>
        <w:ind w:left="426" w:hanging="426"/>
        <w:jc w:val="both"/>
        <w:rPr>
          <w:color w:val="000000"/>
          <w:szCs w:val="20"/>
        </w:rPr>
      </w:pPr>
    </w:p>
    <w:p w14:paraId="1C9E5F88" w14:textId="77777777" w:rsidR="00F7388A" w:rsidRPr="00EF4DE4" w:rsidRDefault="00F7388A" w:rsidP="00EF4DE4">
      <w:pPr>
        <w:spacing w:line="276" w:lineRule="auto"/>
        <w:ind w:left="426" w:hanging="426"/>
        <w:jc w:val="both"/>
        <w:rPr>
          <w:color w:val="000000"/>
          <w:szCs w:val="2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01C75543" w:rsidR="00105C4E" w:rsidRDefault="00105C4E" w:rsidP="00105C4E">
      <w:pPr>
        <w:numPr>
          <w:ilvl w:val="0"/>
          <w:numId w:val="1"/>
        </w:numPr>
        <w:jc w:val="both"/>
        <w:rPr>
          <w:color w:val="000000"/>
        </w:rPr>
      </w:pPr>
      <w:r w:rsidRPr="00234EEA">
        <w:rPr>
          <w:color w:val="000000"/>
        </w:rPr>
        <w:t xml:space="preserve">Przedmiotem odbioru są roboty budowlane stanowiące przedmiot umowy. </w:t>
      </w:r>
    </w:p>
    <w:p w14:paraId="0B7E5C47" w14:textId="0FA10819" w:rsidR="00783D46" w:rsidRPr="00234EEA" w:rsidRDefault="00783D46" w:rsidP="00105C4E">
      <w:pPr>
        <w:numPr>
          <w:ilvl w:val="0"/>
          <w:numId w:val="1"/>
        </w:numPr>
        <w:jc w:val="both"/>
        <w:rPr>
          <w:color w:val="000000"/>
        </w:rPr>
      </w:pPr>
      <w:r>
        <w:rPr>
          <w:color w:val="000000"/>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6D6C59BF" w:rsidR="00105C4E" w:rsidRPr="00234EEA" w:rsidRDefault="00247AD6" w:rsidP="00164F0A">
      <w:pPr>
        <w:numPr>
          <w:ilvl w:val="0"/>
          <w:numId w:val="29"/>
        </w:numPr>
        <w:ind w:left="1412" w:hanging="703"/>
        <w:jc w:val="both"/>
        <w:rPr>
          <w:color w:val="000000"/>
        </w:rPr>
      </w:pPr>
      <w:r>
        <w:rPr>
          <w:color w:val="000000"/>
        </w:rPr>
        <w:t xml:space="preserve">dziennika budowy – </w:t>
      </w:r>
      <w:r w:rsidR="00921970">
        <w:rPr>
          <w:color w:val="000000"/>
        </w:rPr>
        <w:t>1</w:t>
      </w:r>
      <w:r w:rsidR="00105C4E" w:rsidRPr="00234EEA">
        <w:rPr>
          <w:color w:val="000000"/>
        </w:rPr>
        <w:t xml:space="preserve"> egz. – oryginał, </w:t>
      </w:r>
    </w:p>
    <w:p w14:paraId="11E77CF4" w14:textId="73168414"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 xml:space="preserve">iwych jednostek i organów – </w:t>
      </w:r>
      <w:r w:rsidR="00921970">
        <w:rPr>
          <w:color w:val="000000"/>
        </w:rPr>
        <w:t>1</w:t>
      </w:r>
      <w:r w:rsidRPr="00234EEA">
        <w:rPr>
          <w:color w:val="000000"/>
        </w:rPr>
        <w:t xml:space="preserve"> egz.,</w:t>
      </w:r>
    </w:p>
    <w:p w14:paraId="78B15D4D" w14:textId="07F12846" w:rsidR="00105C4E" w:rsidRPr="00234EEA" w:rsidRDefault="00247AD6" w:rsidP="00164F0A">
      <w:pPr>
        <w:numPr>
          <w:ilvl w:val="0"/>
          <w:numId w:val="29"/>
        </w:numPr>
        <w:jc w:val="both"/>
        <w:rPr>
          <w:color w:val="000000"/>
        </w:rPr>
      </w:pPr>
      <w:r>
        <w:rPr>
          <w:color w:val="000000"/>
        </w:rPr>
        <w:t xml:space="preserve">protokołów odbiorów – </w:t>
      </w:r>
      <w:r w:rsidR="00921970">
        <w:rPr>
          <w:color w:val="000000"/>
        </w:rPr>
        <w:t>1</w:t>
      </w:r>
      <w:r w:rsidR="00105C4E" w:rsidRPr="00234EEA">
        <w:rPr>
          <w:color w:val="000000"/>
        </w:rPr>
        <w:t xml:space="preserve"> egz.,</w:t>
      </w:r>
    </w:p>
    <w:p w14:paraId="475549CF" w14:textId="353ADDE7" w:rsidR="00105C4E" w:rsidRPr="00234EEA" w:rsidRDefault="00105C4E" w:rsidP="00164F0A">
      <w:pPr>
        <w:numPr>
          <w:ilvl w:val="0"/>
          <w:numId w:val="29"/>
        </w:numPr>
        <w:jc w:val="both"/>
        <w:rPr>
          <w:color w:val="000000"/>
        </w:rPr>
      </w:pPr>
      <w:r w:rsidRPr="00234EEA">
        <w:rPr>
          <w:color w:val="000000"/>
        </w:rPr>
        <w:t xml:space="preserve">niezbędnych świadectw kontroli jakości – </w:t>
      </w:r>
      <w:r w:rsidR="00921970">
        <w:rPr>
          <w:color w:val="000000"/>
        </w:rPr>
        <w:t>1</w:t>
      </w:r>
      <w:r w:rsidRPr="00234EEA">
        <w:rPr>
          <w:color w:val="000000"/>
        </w:rPr>
        <w:t xml:space="preserve"> egz.,</w:t>
      </w:r>
    </w:p>
    <w:p w14:paraId="2DFD6756" w14:textId="0C0C1D0B"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 xml:space="preserve">eli takie wystąpiły – </w:t>
      </w:r>
      <w:r w:rsidR="00921970">
        <w:rPr>
          <w:color w:val="000000"/>
        </w:rPr>
        <w:t>1</w:t>
      </w:r>
      <w:r>
        <w:rPr>
          <w:color w:val="000000"/>
        </w:rPr>
        <w:t xml:space="preserve"> egz.,</w:t>
      </w:r>
    </w:p>
    <w:p w14:paraId="6D721F9D" w14:textId="77777777" w:rsidR="00105C4E"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7C2E35F" w14:textId="4198016F" w:rsidR="00921970" w:rsidRPr="00234EEA" w:rsidRDefault="005601C3" w:rsidP="00164F0A">
      <w:pPr>
        <w:numPr>
          <w:ilvl w:val="0"/>
          <w:numId w:val="29"/>
        </w:numPr>
        <w:jc w:val="both"/>
        <w:rPr>
          <w:color w:val="000000"/>
        </w:rPr>
      </w:pPr>
      <w:r>
        <w:rPr>
          <w:color w:val="000000"/>
        </w:rPr>
        <w:t>w</w:t>
      </w:r>
      <w:r w:rsidR="00921970">
        <w:rPr>
          <w:color w:val="000000"/>
        </w:rPr>
        <w:t>ersja elektroniczna (skany)</w:t>
      </w:r>
      <w:r>
        <w:rPr>
          <w:color w:val="000000"/>
        </w:rPr>
        <w:t xml:space="preserve"> </w:t>
      </w:r>
      <w:r w:rsidR="00921970">
        <w:rPr>
          <w:color w:val="000000"/>
        </w:rPr>
        <w:t>na płycie CD  dokumentów wymienionych w</w:t>
      </w:r>
      <w:r w:rsidR="002F4372">
        <w:rPr>
          <w:color w:val="000000"/>
        </w:rPr>
        <w:t> </w:t>
      </w:r>
      <w:r w:rsidR="00921970">
        <w:rPr>
          <w:color w:val="000000"/>
        </w:rPr>
        <w:t xml:space="preserve">ust. 5 </w:t>
      </w:r>
    </w:p>
    <w:p w14:paraId="4E33ADEA" w14:textId="6F7C2E02"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4A6948">
        <w:rPr>
          <w:color w:val="000000"/>
        </w:rPr>
        <w:t>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477166">
      <w:pPr>
        <w:pStyle w:val="Tytu"/>
        <w:spacing w:after="120"/>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stawy Pzp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azany przez Zamawiającego w siwz</w:t>
      </w:r>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573F7949" w:rsidR="00115908" w:rsidRPr="00164F0A"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Stosownie do treści art. 29 ust. 3a ustawy Pzp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czerwca 1974 r. - Kodeks pracy (Dz. U. z</w:t>
      </w:r>
      <w:r>
        <w:rPr>
          <w:rFonts w:ascii="Times New Roman" w:hAnsi="Times New Roman"/>
          <w:sz w:val="24"/>
          <w:szCs w:val="24"/>
        </w:rPr>
        <w:t> </w:t>
      </w:r>
      <w:r w:rsidRPr="00825128">
        <w:rPr>
          <w:rFonts w:ascii="Times New Roman" w:hAnsi="Times New Roman"/>
          <w:sz w:val="24"/>
          <w:szCs w:val="24"/>
        </w:rPr>
        <w:t>2016 r. poz. 1666</w:t>
      </w:r>
      <w:r>
        <w:rPr>
          <w:rFonts w:ascii="Times New Roman" w:hAnsi="Times New Roman"/>
          <w:sz w:val="24"/>
          <w:szCs w:val="24"/>
        </w:rPr>
        <w:t xml:space="preserve"> ze zm.</w:t>
      </w:r>
      <w:r w:rsidRPr="00825128">
        <w:rPr>
          <w:rFonts w:ascii="Times New Roman" w:hAnsi="Times New Roman"/>
          <w:sz w:val="24"/>
          <w:szCs w:val="24"/>
        </w:rPr>
        <w:t>), tj</w:t>
      </w:r>
      <w:r>
        <w:rPr>
          <w:rFonts w:ascii="Times New Roman" w:hAnsi="Times New Roman"/>
          <w:sz w:val="24"/>
          <w:szCs w:val="24"/>
        </w:rPr>
        <w:t>. by osoby te wykonywały następujące czynności:</w:t>
      </w:r>
    </w:p>
    <w:p w14:paraId="26ED65DC" w14:textId="77777777" w:rsidR="00115908" w:rsidRPr="00474D36"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 xml:space="preserve">roboty rozbiórkowe; </w:t>
      </w:r>
    </w:p>
    <w:p w14:paraId="7C695DBE"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przygotowawcze i roboty ziemne;</w:t>
      </w:r>
    </w:p>
    <w:p w14:paraId="713E4465"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układanie krawężników;</w:t>
      </w:r>
    </w:p>
    <w:p w14:paraId="7CD2D8FD"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pas postojowy;</w:t>
      </w:r>
    </w:p>
    <w:p w14:paraId="3FDB5D51"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pobocza;</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anomizacji.</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anomizacji.</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671AF486"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7E2075">
        <w:rPr>
          <w:lang w:eastAsia="ar-SA"/>
        </w:rPr>
        <w:t>1</w:t>
      </w:r>
      <w:r w:rsidRPr="00C91F38">
        <w:rPr>
          <w:lang w:eastAsia="ar-SA"/>
        </w:rPr>
        <w:t xml:space="preserve"> kpl. map i szkiców inwentaryzacji powykonawczej </w:t>
      </w:r>
      <w:r w:rsidR="00C91F38" w:rsidRPr="00C91F38">
        <w:rPr>
          <w:lang w:eastAsia="ar-SA"/>
        </w:rPr>
        <w:t xml:space="preserve">w formie papierowej i 1 kpl.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4C3104C6"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p>
    <w:p w14:paraId="518DD4C7" w14:textId="55AA09D6"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późn.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62CE6586"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C13B39">
        <w:rPr>
          <w:b/>
          <w:lang w:eastAsia="ar-SA"/>
        </w:rPr>
        <w:t>1</w:t>
      </w:r>
      <w:r w:rsidR="00C91F38" w:rsidRPr="00C91F38">
        <w:rPr>
          <w:b/>
          <w:lang w:eastAsia="ar-SA"/>
        </w:rPr>
        <w:t xml:space="preserve"> kpl.</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tanowień art. 150 ust. 7-9 ustawy Pzp.</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6439D29D"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Pr="00A25BC3">
        <w:t xml:space="preserve">§ 8 ust. </w:t>
      </w:r>
      <w:r w:rsidR="00CC253F">
        <w:t>3 i</w:t>
      </w:r>
      <w:r w:rsidR="004A6948">
        <w:t> </w:t>
      </w:r>
      <w:r w:rsidR="00CC253F">
        <w:t>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E7921C8"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wynosi 60 m-cy.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1E0D436F" w14:textId="77777777" w:rsidR="00AB6B32" w:rsidRDefault="00AB6B32" w:rsidP="00D01694">
      <w:pPr>
        <w:pStyle w:val="Tytu"/>
        <w:spacing w:line="360" w:lineRule="auto"/>
        <w:rPr>
          <w:color w:val="000000"/>
          <w:sz w:val="24"/>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54EA063D" w:rsidR="00D64A3D" w:rsidRPr="00D64A3D" w:rsidRDefault="00D64A3D" w:rsidP="00D64A3D">
      <w:pPr>
        <w:widowControl w:val="0"/>
        <w:tabs>
          <w:tab w:val="left" w:pos="356"/>
        </w:tabs>
        <w:ind w:left="720"/>
        <w:jc w:val="both"/>
      </w:pPr>
      <w:r w:rsidRPr="00D64A3D">
        <w:t>- odpowiednio o okres opóźnienia spowodowanego jedną z przyczyn wskazanych w</w:t>
      </w:r>
      <w:r w:rsidR="00AB6B32">
        <w:t> </w:t>
      </w:r>
      <w:r w:rsidRPr="00D64A3D">
        <w:t>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34706A31" w:rsidR="00D64A3D" w:rsidRPr="00D64A3D" w:rsidRDefault="00D64A3D" w:rsidP="00F7388A">
      <w:pPr>
        <w:widowControl w:val="0"/>
        <w:tabs>
          <w:tab w:val="left" w:pos="359"/>
        </w:tabs>
        <w:ind w:left="567"/>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C2E37">
      <w:pPr>
        <w:numPr>
          <w:ilvl w:val="0"/>
          <w:numId w:val="3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C2E37">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115016">
      <w:pPr>
        <w:pStyle w:val="Akapitzlist"/>
        <w:numPr>
          <w:ilvl w:val="0"/>
          <w:numId w:val="46"/>
        </w:numPr>
        <w:spacing w:after="0"/>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115016">
      <w:pPr>
        <w:pStyle w:val="Akapitzlist"/>
        <w:numPr>
          <w:ilvl w:val="0"/>
          <w:numId w:val="46"/>
        </w:numPr>
        <w:spacing w:after="0"/>
        <w:ind w:left="357" w:hanging="357"/>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F81DDBC" w14:textId="77777777" w:rsidR="007F40EF" w:rsidRDefault="007F40EF" w:rsidP="00D01694">
      <w:pPr>
        <w:pStyle w:val="Tytu"/>
        <w:spacing w:line="360" w:lineRule="auto"/>
        <w:rPr>
          <w:color w:val="000000"/>
          <w:sz w:val="24"/>
        </w:rPr>
      </w:pPr>
    </w:p>
    <w:p w14:paraId="73E9EE74" w14:textId="7D13A9BC" w:rsidR="00427F85" w:rsidRPr="007D443C" w:rsidRDefault="00427F85" w:rsidP="00D01694">
      <w:pPr>
        <w:pStyle w:val="Tytu"/>
        <w:spacing w:line="360" w:lineRule="auto"/>
        <w:rPr>
          <w:color w:val="000000"/>
          <w:sz w:val="24"/>
        </w:rPr>
      </w:pPr>
      <w:r>
        <w:rPr>
          <w:color w:val="000000"/>
          <w:sz w:val="24"/>
        </w:rPr>
        <w:t>§ 18</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6707D143"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1845382A" w:rsidR="00427F85" w:rsidRDefault="00427F85" w:rsidP="00115016">
      <w:pPr>
        <w:pStyle w:val="Teksttreci20"/>
        <w:numPr>
          <w:ilvl w:val="0"/>
          <w:numId w:val="27"/>
        </w:numPr>
        <w:shd w:val="clear" w:color="auto" w:fill="auto"/>
        <w:tabs>
          <w:tab w:val="left" w:pos="567"/>
        </w:tabs>
        <w:spacing w:after="0" w:line="252" w:lineRule="exact"/>
        <w:ind w:left="567" w:hanging="567"/>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sprawach nieuregulowanych w niniejszej Umowie będą miały zastosowanie przepisy ustawy Pzp,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23077D00"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w:t>
      </w:r>
      <w:r w:rsidR="008A444A">
        <w:t>,</w:t>
      </w:r>
      <w:r>
        <w:t xml:space="preserve">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dd.mm.rrr.</w:t>
      </w:r>
    </w:p>
    <w:p w14:paraId="2FE689AE"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3A3CAB4F"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ppkt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0168B56" w14:textId="49806897" w:rsidR="008A444A" w:rsidRDefault="008A444A" w:rsidP="00427F85">
      <w:pPr>
        <w:pStyle w:val="Teksttreci20"/>
        <w:shd w:val="clear" w:color="auto" w:fill="auto"/>
        <w:tabs>
          <w:tab w:val="right" w:pos="7574"/>
        </w:tabs>
        <w:spacing w:after="0" w:line="220" w:lineRule="exact"/>
        <w:ind w:firstLine="0"/>
        <w:jc w:val="both"/>
      </w:pPr>
    </w:p>
    <w:p w14:paraId="5E3944DE" w14:textId="77777777" w:rsidR="008A444A" w:rsidRDefault="008A444A" w:rsidP="00427F85">
      <w:pPr>
        <w:pStyle w:val="Teksttreci20"/>
        <w:shd w:val="clear" w:color="auto" w:fill="auto"/>
        <w:tabs>
          <w:tab w:val="right" w:pos="7574"/>
        </w:tabs>
        <w:spacing w:after="0" w:line="220" w:lineRule="exact"/>
        <w:ind w:firstLine="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3A191A9A" w14:textId="77777777" w:rsidR="00FE02F6" w:rsidRDefault="00FE02F6" w:rsidP="00427F85"/>
    <w:p w14:paraId="23CC4230" w14:textId="77777777" w:rsidR="009106A9" w:rsidRDefault="009106A9" w:rsidP="00427F85"/>
    <w:p w14:paraId="33EFBC07" w14:textId="77777777" w:rsidR="003A7428" w:rsidRDefault="003A7428" w:rsidP="00427F85"/>
    <w:p w14:paraId="221662A9" w14:textId="7458A272" w:rsidR="00427F85" w:rsidRDefault="00427F85" w:rsidP="00427F85"/>
    <w:p w14:paraId="075CDBD7" w14:textId="12EBDCBD" w:rsidR="008A444A" w:rsidRDefault="008A444A" w:rsidP="00427F85"/>
    <w:p w14:paraId="7D7FED1D" w14:textId="583203E1" w:rsidR="008A444A" w:rsidRDefault="008A444A" w:rsidP="00427F85"/>
    <w:p w14:paraId="11CBB146" w14:textId="670BCF35" w:rsidR="008A444A" w:rsidRDefault="008A444A" w:rsidP="00427F85"/>
    <w:p w14:paraId="4B1924C1" w14:textId="4FF32A38" w:rsidR="008A444A" w:rsidRDefault="008A444A" w:rsidP="00427F85"/>
    <w:p w14:paraId="3EA784E7" w14:textId="77777777" w:rsidR="008A444A" w:rsidRPr="003A7428" w:rsidRDefault="008A444A" w:rsidP="00427F85">
      <w:pPr>
        <w:rPr>
          <w:sz w:val="22"/>
          <w:szCs w:val="22"/>
        </w:rPr>
      </w:pPr>
    </w:p>
    <w:p w14:paraId="7C89C0D4" w14:textId="434F8524" w:rsidR="001761D8" w:rsidRPr="001761D8" w:rsidRDefault="001761D8" w:rsidP="001761D8">
      <w:pPr>
        <w:spacing w:line="276" w:lineRule="auto"/>
        <w:jc w:val="both"/>
        <w:rPr>
          <w:sz w:val="22"/>
          <w:szCs w:val="22"/>
        </w:rPr>
      </w:pPr>
      <w:r w:rsidRPr="001761D8">
        <w:rPr>
          <w:sz w:val="22"/>
          <w:szCs w:val="22"/>
        </w:rPr>
        <w:t>Finansowanie zaplanowano w dziale …..…. rozdział ……… ………… budżetu Miasta w 201</w:t>
      </w:r>
      <w:r w:rsidR="0054714D">
        <w:rPr>
          <w:sz w:val="22"/>
          <w:szCs w:val="22"/>
        </w:rPr>
        <w:t>8</w:t>
      </w:r>
      <w:r w:rsidRPr="001761D8">
        <w:rPr>
          <w:sz w:val="22"/>
          <w:szCs w:val="22"/>
        </w:rPr>
        <w:t xml:space="preserve"> r.  </w:t>
      </w:r>
      <w:r w:rsidR="009106A9" w:rsidRPr="003A7428">
        <w:rPr>
          <w:sz w:val="22"/>
          <w:szCs w:val="22"/>
        </w:rPr>
        <w:t xml:space="preserve">„Przebudowa dróg powiatowych </w:t>
      </w:r>
      <w:r w:rsidR="009106A9" w:rsidRPr="003A7428">
        <w:rPr>
          <w:bCs/>
          <w:spacing w:val="-4"/>
          <w:sz w:val="22"/>
          <w:szCs w:val="22"/>
          <w:lang w:eastAsia="ar-SA"/>
        </w:rPr>
        <w:t xml:space="preserve">w Świnoujściu - </w:t>
      </w:r>
      <w:r w:rsidR="009106A9" w:rsidRPr="003A7428">
        <w:rPr>
          <w:spacing w:val="-4"/>
          <w:sz w:val="22"/>
          <w:szCs w:val="22"/>
          <w:lang w:eastAsia="ar-SA"/>
        </w:rPr>
        <w:t>poprawa bezpieczeństwa ruchu drogowego na ul. Pomorskiej</w:t>
      </w:r>
      <w:r w:rsidR="009106A9" w:rsidRPr="003A7428">
        <w:rPr>
          <w:bCs/>
          <w:spacing w:val="-4"/>
          <w:sz w:val="22"/>
          <w:szCs w:val="22"/>
          <w:lang w:eastAsia="ar-SA"/>
        </w:rPr>
        <w:t>”.</w:t>
      </w:r>
    </w:p>
    <w:p w14:paraId="4BB76DFD" w14:textId="77777777" w:rsidR="001761D8" w:rsidRPr="003A7428" w:rsidRDefault="001761D8" w:rsidP="001761D8">
      <w:pPr>
        <w:spacing w:line="276" w:lineRule="auto"/>
        <w:jc w:val="both"/>
        <w:rPr>
          <w:sz w:val="22"/>
          <w:szCs w:val="22"/>
        </w:rPr>
      </w:pPr>
    </w:p>
    <w:p w14:paraId="50F13F50" w14:textId="2D2E2D13" w:rsidR="003A7428" w:rsidRDefault="003A7428" w:rsidP="001761D8">
      <w:pPr>
        <w:spacing w:line="276" w:lineRule="auto"/>
        <w:jc w:val="both"/>
        <w:rPr>
          <w:sz w:val="22"/>
          <w:szCs w:val="22"/>
        </w:rPr>
      </w:pPr>
    </w:p>
    <w:p w14:paraId="5F83F70F" w14:textId="51B9FCA2" w:rsidR="008A444A" w:rsidRDefault="008A444A" w:rsidP="001761D8">
      <w:pPr>
        <w:spacing w:line="276" w:lineRule="auto"/>
        <w:jc w:val="both"/>
        <w:rPr>
          <w:sz w:val="22"/>
          <w:szCs w:val="22"/>
        </w:rPr>
      </w:pPr>
    </w:p>
    <w:p w14:paraId="671DBBD3" w14:textId="77777777" w:rsidR="008A444A" w:rsidRPr="003A7428" w:rsidRDefault="008A444A" w:rsidP="001761D8">
      <w:pPr>
        <w:spacing w:line="276" w:lineRule="auto"/>
        <w:jc w:val="both"/>
        <w:rPr>
          <w:sz w:val="22"/>
          <w:szCs w:val="22"/>
        </w:rPr>
      </w:pPr>
      <w:bookmarkStart w:id="0" w:name="_GoBack"/>
      <w:bookmarkEnd w:id="0"/>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477166">
      <w:headerReference w:type="even" r:id="rId8"/>
      <w:headerReference w:type="default" r:id="rId9"/>
      <w:footerReference w:type="even" r:id="rId10"/>
      <w:footerReference w:type="default" r:id="rId11"/>
      <w:headerReference w:type="first" r:id="rId12"/>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0AA395D9" w:rsidR="00674D84" w:rsidRDefault="00D525EA">
    <w:pPr>
      <w:pStyle w:val="Stopka"/>
      <w:jc w:val="right"/>
    </w:pPr>
    <w:r>
      <w:fldChar w:fldCharType="begin"/>
    </w:r>
    <w:r w:rsidR="00674D84">
      <w:instrText>PAGE   \* MERGEFORMAT</w:instrText>
    </w:r>
    <w:r>
      <w:fldChar w:fldCharType="separate"/>
    </w:r>
    <w:r w:rsidR="008A444A">
      <w:rPr>
        <w:noProof/>
      </w:rPr>
      <w:t>22</w:t>
    </w:r>
    <w:r>
      <w:fldChar w:fldCharType="end"/>
    </w:r>
    <w:r w:rsidR="005D73F4">
      <w:t>/2</w:t>
    </w:r>
    <w:r w:rsidR="00477166">
      <w:t>2</w:t>
    </w:r>
  </w:p>
  <w:p w14:paraId="470128BA" w14:textId="77777777"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455313" w:rsidRDefault="00455313">
    <w:pPr>
      <w:pStyle w:val="Nagwek"/>
      <w:framePr w:w="93" w:wrap="around" w:vAnchor="text" w:hAnchor="page" w:x="11089" w:y="12"/>
      <w:rPr>
        <w:rStyle w:val="Numerstrony"/>
      </w:rPr>
    </w:pPr>
  </w:p>
  <w:p w14:paraId="3BBA183B" w14:textId="62400FC1"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54714D">
      <w:rPr>
        <w:sz w:val="22"/>
        <w:szCs w:val="22"/>
      </w:rPr>
      <w:t>3</w:t>
    </w:r>
    <w:r w:rsidRPr="006844A7">
      <w:rPr>
        <w:sz w:val="22"/>
        <w:szCs w:val="22"/>
      </w:rPr>
      <w:t>.201</w:t>
    </w:r>
    <w:r w:rsidR="0054714D">
      <w:rPr>
        <w:sz w:val="22"/>
        <w:szCs w:val="22"/>
      </w:rPr>
      <w:t>8</w:t>
    </w:r>
  </w:p>
  <w:p w14:paraId="6D407077" w14:textId="77777777"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0"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1"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9"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0"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8"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4"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0"/>
  </w:num>
  <w:num w:numId="2">
    <w:abstractNumId w:val="21"/>
  </w:num>
  <w:num w:numId="3">
    <w:abstractNumId w:val="22"/>
  </w:num>
  <w:num w:numId="4">
    <w:abstractNumId w:val="19"/>
  </w:num>
  <w:num w:numId="5">
    <w:abstractNumId w:val="31"/>
  </w:num>
  <w:num w:numId="6">
    <w:abstractNumId w:val="32"/>
  </w:num>
  <w:num w:numId="7">
    <w:abstractNumId w:val="8"/>
  </w:num>
  <w:num w:numId="8">
    <w:abstractNumId w:val="1"/>
  </w:num>
  <w:num w:numId="9">
    <w:abstractNumId w:val="28"/>
  </w:num>
  <w:num w:numId="10">
    <w:abstractNumId w:val="3"/>
  </w:num>
  <w:num w:numId="11">
    <w:abstractNumId w:val="43"/>
  </w:num>
  <w:num w:numId="12">
    <w:abstractNumId w:val="39"/>
  </w:num>
  <w:num w:numId="13">
    <w:abstractNumId w:val="45"/>
  </w:num>
  <w:num w:numId="14">
    <w:abstractNumId w:val="15"/>
  </w:num>
  <w:num w:numId="15">
    <w:abstractNumId w:val="16"/>
  </w:num>
  <w:num w:numId="16">
    <w:abstractNumId w:val="17"/>
  </w:num>
  <w:num w:numId="17">
    <w:abstractNumId w:val="9"/>
  </w:num>
  <w:num w:numId="18">
    <w:abstractNumId w:val="35"/>
  </w:num>
  <w:num w:numId="19">
    <w:abstractNumId w:val="3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29"/>
  </w:num>
  <w:num w:numId="23">
    <w:abstractNumId w:val="10"/>
  </w:num>
  <w:num w:numId="24">
    <w:abstractNumId w:val="12"/>
  </w:num>
  <w:num w:numId="25">
    <w:abstractNumId w:val="46"/>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3"/>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50"/>
  </w:num>
  <w:num w:numId="32">
    <w:abstractNumId w:val="33"/>
  </w:num>
  <w:num w:numId="33">
    <w:abstractNumId w:val="52"/>
  </w:num>
  <w:num w:numId="34">
    <w:abstractNumId w:val="48"/>
  </w:num>
  <w:num w:numId="35">
    <w:abstractNumId w:val="40"/>
  </w:num>
  <w:num w:numId="36">
    <w:abstractNumId w:val="27"/>
  </w:num>
  <w:num w:numId="37">
    <w:abstractNumId w:val="41"/>
  </w:num>
  <w:num w:numId="38">
    <w:abstractNumId w:val="11"/>
  </w:num>
  <w:num w:numId="39">
    <w:abstractNumId w:val="36"/>
  </w:num>
  <w:num w:numId="40">
    <w:abstractNumId w:val="51"/>
  </w:num>
  <w:num w:numId="41">
    <w:abstractNumId w:val="44"/>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25"/>
  </w:num>
  <w:num w:numId="47">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C4E"/>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655A"/>
    <w:rsid w:val="00196AE8"/>
    <w:rsid w:val="001A65CC"/>
    <w:rsid w:val="001C2E37"/>
    <w:rsid w:val="001C506A"/>
    <w:rsid w:val="001D71EB"/>
    <w:rsid w:val="001E0A42"/>
    <w:rsid w:val="001E1DD1"/>
    <w:rsid w:val="001E69BB"/>
    <w:rsid w:val="001F0AA9"/>
    <w:rsid w:val="001F468A"/>
    <w:rsid w:val="002245FF"/>
    <w:rsid w:val="00226D43"/>
    <w:rsid w:val="00227CBA"/>
    <w:rsid w:val="002427FE"/>
    <w:rsid w:val="00244525"/>
    <w:rsid w:val="00247AD6"/>
    <w:rsid w:val="00257AB8"/>
    <w:rsid w:val="002622D3"/>
    <w:rsid w:val="00264FD7"/>
    <w:rsid w:val="002706C6"/>
    <w:rsid w:val="00275C03"/>
    <w:rsid w:val="002800C9"/>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7166"/>
    <w:rsid w:val="0049076E"/>
    <w:rsid w:val="004932B2"/>
    <w:rsid w:val="004A6948"/>
    <w:rsid w:val="004B2316"/>
    <w:rsid w:val="004B36B4"/>
    <w:rsid w:val="004B451B"/>
    <w:rsid w:val="004C4F74"/>
    <w:rsid w:val="004D1514"/>
    <w:rsid w:val="004D2A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3D46"/>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4297"/>
    <w:rsid w:val="008C764A"/>
    <w:rsid w:val="008D6CD6"/>
    <w:rsid w:val="008D7857"/>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62FCF"/>
    <w:rsid w:val="00A70771"/>
    <w:rsid w:val="00A82F81"/>
    <w:rsid w:val="00A865F7"/>
    <w:rsid w:val="00A87470"/>
    <w:rsid w:val="00A90BDE"/>
    <w:rsid w:val="00A953BC"/>
    <w:rsid w:val="00AB6B32"/>
    <w:rsid w:val="00AC6718"/>
    <w:rsid w:val="00AD3939"/>
    <w:rsid w:val="00AD4B58"/>
    <w:rsid w:val="00AE1F44"/>
    <w:rsid w:val="00AE7708"/>
    <w:rsid w:val="00B00566"/>
    <w:rsid w:val="00B02411"/>
    <w:rsid w:val="00B0535D"/>
    <w:rsid w:val="00B1065B"/>
    <w:rsid w:val="00B20F1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7C"/>
    <w:rsid w:val="00BD36B2"/>
    <w:rsid w:val="00BE00CB"/>
    <w:rsid w:val="00BE40B7"/>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4236"/>
    <w:rsid w:val="00EC6F5E"/>
    <w:rsid w:val="00ED6933"/>
    <w:rsid w:val="00ED7792"/>
    <w:rsid w:val="00EE2194"/>
    <w:rsid w:val="00EE5776"/>
    <w:rsid w:val="00EF3042"/>
    <w:rsid w:val="00EF4DE4"/>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388A"/>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D633CDE3-E5D2-4561-BC8C-28B3FE9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7089-A1E2-4348-B1B7-FAFD8396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22</Pages>
  <Words>9293</Words>
  <Characters>55760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Justyna</dc:creator>
  <cp:keywords>Ethan</cp:keywords>
  <dc:description/>
  <cp:lastModifiedBy>ikniewel</cp:lastModifiedBy>
  <cp:revision>55</cp:revision>
  <cp:lastPrinted>2018-03-12T11:31:00Z</cp:lastPrinted>
  <dcterms:created xsi:type="dcterms:W3CDTF">2017-03-03T07:57:00Z</dcterms:created>
  <dcterms:modified xsi:type="dcterms:W3CDTF">2018-03-13T12:07:00Z</dcterms:modified>
</cp:coreProperties>
</file>